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8B2666E">
      <w:pPr>
        <w:keepNext w:val="0"/>
        <w:keepLines w:val="0"/>
        <w:pageBreakBefore w:val="0"/>
        <w:numPr>
          <w:ilvl w:val="0"/>
          <w:numId w:val="0"/>
        </w:numPr>
        <w:tabs>
          <w:tab w:val="left" w:pos="0"/>
        </w:tabs>
        <w:kinsoku/>
        <w:overflowPunct/>
        <w:topLinePunct w:val="0"/>
        <w:autoSpaceDE/>
        <w:autoSpaceDN/>
        <w:bidi w:val="0"/>
        <w:adjustRightInd/>
        <w:snapToGrid/>
        <w:spacing w:line="580" w:lineRule="exact"/>
        <w:ind w:leftChars="0"/>
        <w:textAlignment w:val="auto"/>
        <w:rPr>
          <w:rFonts w:hint="default" w:ascii="黑体" w:hAnsi="黑体" w:eastAsia="黑体" w:cs="黑体"/>
          <w:color w:val="auto"/>
          <w:sz w:val="32"/>
          <w:szCs w:val="32"/>
          <w:lang w:val="en-US" w:eastAsia="zh-CN"/>
        </w:rPr>
      </w:pPr>
      <w:bookmarkStart w:id="0" w:name="_Ref30280"/>
      <w:bookmarkEnd w:id="0"/>
      <w:r>
        <w:rPr>
          <w:rFonts w:hint="eastAsia" w:ascii="黑体" w:hAnsi="黑体" w:eastAsia="黑体" w:cs="黑体"/>
          <w:color w:val="auto"/>
          <w:sz w:val="32"/>
          <w:szCs w:val="32"/>
          <w:lang w:eastAsia="zh-CN"/>
        </w:rPr>
        <w:t>附件</w:t>
      </w:r>
      <w:r>
        <w:rPr>
          <w:rFonts w:hint="eastAsia" w:ascii="黑体" w:hAnsi="黑体" w:eastAsia="黑体" w:cs="黑体"/>
          <w:color w:val="auto"/>
          <w:sz w:val="32"/>
          <w:szCs w:val="32"/>
          <w:lang w:val="en-US" w:eastAsia="zh-CN"/>
        </w:rPr>
        <w:t>1</w:t>
      </w:r>
    </w:p>
    <w:p w14:paraId="16E22E61">
      <w:pPr>
        <w:keepNext w:val="0"/>
        <w:keepLines w:val="0"/>
        <w:pageBreakBefore w:val="0"/>
        <w:widowControl w:val="0"/>
        <w:kinsoku/>
        <w:wordWrap/>
        <w:overflowPunct/>
        <w:topLinePunct w:val="0"/>
        <w:autoSpaceDE/>
        <w:autoSpaceDN/>
        <w:bidi w:val="0"/>
        <w:adjustRightInd/>
        <w:snapToGrid/>
        <w:spacing w:line="580" w:lineRule="exact"/>
        <w:ind w:left="0"/>
        <w:jc w:val="center"/>
        <w:textAlignment w:val="auto"/>
        <w:outlineLvl w:val="0"/>
        <w:rPr>
          <w:rFonts w:hint="eastAsia" w:ascii="宋体" w:hAnsi="宋体" w:eastAsia="宋体" w:cs="Times New Roman"/>
          <w:b/>
          <w:bCs/>
          <w:color w:val="auto"/>
          <w:sz w:val="44"/>
          <w:szCs w:val="44"/>
          <w:lang w:val="en-US" w:eastAsia="zh-CN"/>
        </w:rPr>
      </w:pPr>
    </w:p>
    <w:p w14:paraId="4FA48EC8">
      <w:pPr>
        <w:keepNext w:val="0"/>
        <w:keepLines w:val="0"/>
        <w:pageBreakBefore w:val="0"/>
        <w:widowControl w:val="0"/>
        <w:kinsoku/>
        <w:wordWrap/>
        <w:overflowPunct/>
        <w:topLinePunct w:val="0"/>
        <w:autoSpaceDE/>
        <w:autoSpaceDN/>
        <w:bidi w:val="0"/>
        <w:adjustRightInd/>
        <w:snapToGrid/>
        <w:spacing w:line="580" w:lineRule="exact"/>
        <w:ind w:left="0"/>
        <w:jc w:val="center"/>
        <w:textAlignment w:val="auto"/>
        <w:outlineLvl w:val="0"/>
        <w:rPr>
          <w:rFonts w:hint="eastAsia" w:ascii="方正小标宋简体" w:hAnsi="方正小标宋简体" w:eastAsia="方正小标宋简体" w:cs="方正小标宋简体"/>
          <w:b w:val="0"/>
          <w:bCs w:val="0"/>
          <w:color w:val="auto"/>
          <w:sz w:val="44"/>
          <w:szCs w:val="44"/>
          <w:lang w:val="en-US" w:eastAsia="zh-CN"/>
        </w:rPr>
      </w:pPr>
      <w:bookmarkStart w:id="1" w:name="_Toc8003"/>
      <w:r>
        <w:rPr>
          <w:rFonts w:hint="eastAsia" w:ascii="方正小标宋简体" w:hAnsi="方正小标宋简体" w:eastAsia="方正小标宋简体" w:cs="方正小标宋简体"/>
          <w:b w:val="0"/>
          <w:bCs w:val="0"/>
          <w:color w:val="auto"/>
          <w:sz w:val="44"/>
          <w:szCs w:val="44"/>
          <w:lang w:val="en-US" w:eastAsia="zh-CN"/>
        </w:rPr>
        <w:t>鼓励和支持创新体系建设奖励实施细则</w:t>
      </w:r>
      <w:bookmarkEnd w:id="1"/>
    </w:p>
    <w:p w14:paraId="2489AAAA">
      <w:pPr>
        <w:keepNext w:val="0"/>
        <w:keepLines w:val="0"/>
        <w:pageBreakBefore w:val="0"/>
        <w:widowControl/>
        <w:kinsoku/>
        <w:wordWrap/>
        <w:overflowPunct/>
        <w:topLinePunct w:val="0"/>
        <w:autoSpaceDE/>
        <w:autoSpaceDN/>
        <w:bidi w:val="0"/>
        <w:adjustRightInd/>
        <w:snapToGrid/>
        <w:spacing w:before="0" w:beforeAutospacing="0" w:after="0" w:afterAutospacing="0" w:line="580" w:lineRule="exact"/>
        <w:ind w:right="0"/>
        <w:jc w:val="center"/>
        <w:textAlignment w:val="auto"/>
        <w:rPr>
          <w:rFonts w:hint="eastAsia" w:ascii="仿宋" w:hAnsi="仿宋" w:eastAsia="仿宋" w:cs="Times New Roman"/>
          <w:color w:val="auto"/>
          <w:kern w:val="0"/>
          <w:sz w:val="32"/>
          <w:szCs w:val="32"/>
          <w:shd w:val="clear" w:color="auto" w:fill="FFFFFF"/>
          <w:lang w:val="en-US" w:eastAsia="zh-CN" w:bidi="ar"/>
        </w:rPr>
      </w:pPr>
      <w:r>
        <w:rPr>
          <w:rFonts w:hint="eastAsia" w:ascii="方正仿宋_GBK" w:hAnsi="方正仿宋_GBK" w:eastAsia="方正仿宋_GBK" w:cs="方正仿宋_GBK"/>
          <w:sz w:val="32"/>
          <w:szCs w:val="32"/>
          <w:lang w:eastAsia="zh-CN"/>
        </w:rPr>
        <w:t>（征求意见稿）</w:t>
      </w:r>
    </w:p>
    <w:p w14:paraId="5BB7CD90">
      <w:pPr>
        <w:keepNext w:val="0"/>
        <w:keepLines w:val="0"/>
        <w:pageBreakBefore w:val="0"/>
        <w:widowControl w:val="0"/>
        <w:numPr>
          <w:ilvl w:val="0"/>
          <w:numId w:val="0"/>
        </w:numPr>
        <w:tabs>
          <w:tab w:val="left" w:pos="0"/>
        </w:tabs>
        <w:kinsoku/>
        <w:wordWrap/>
        <w:overflowPunct/>
        <w:topLinePunct w:val="0"/>
        <w:autoSpaceDE/>
        <w:autoSpaceDN/>
        <w:bidi w:val="0"/>
        <w:adjustRightInd/>
        <w:snapToGrid/>
        <w:spacing w:line="580" w:lineRule="exact"/>
        <w:ind w:left="40" w:leftChars="0"/>
        <w:jc w:val="center"/>
        <w:textAlignment w:val="auto"/>
        <w:outlineLvl w:val="9"/>
        <w:rPr>
          <w:rFonts w:hint="eastAsia" w:ascii="黑体" w:hAnsi="黑体" w:eastAsia="黑体" w:cs="Times New Roman"/>
          <w:color w:val="auto"/>
          <w:sz w:val="32"/>
          <w:szCs w:val="32"/>
          <w:lang w:eastAsia="zh-CN"/>
        </w:rPr>
      </w:pPr>
      <w:r>
        <w:rPr>
          <w:rFonts w:hint="eastAsia" w:ascii="黑体" w:hAnsi="黑体" w:eastAsia="黑体" w:cs="Times New Roman"/>
          <w:color w:val="auto"/>
          <w:sz w:val="32"/>
          <w:szCs w:val="32"/>
          <w:lang w:eastAsia="zh-CN"/>
        </w:rPr>
        <w:t>第一章</w:t>
      </w:r>
      <w:r>
        <w:rPr>
          <w:rFonts w:hint="eastAsia" w:ascii="黑体" w:hAnsi="黑体" w:eastAsia="黑体" w:cs="Times New Roman"/>
          <w:color w:val="auto"/>
          <w:sz w:val="32"/>
          <w:szCs w:val="32"/>
          <w:lang w:val="en-US" w:eastAsia="zh-CN"/>
        </w:rPr>
        <w:t xml:space="preserve"> </w:t>
      </w:r>
      <w:r>
        <w:rPr>
          <w:rFonts w:hint="eastAsia" w:ascii="黑体" w:hAnsi="黑体" w:eastAsia="黑体" w:cs="Times New Roman"/>
          <w:color w:val="auto"/>
          <w:sz w:val="32"/>
          <w:szCs w:val="32"/>
        </w:rPr>
        <w:t>总则</w:t>
      </w:r>
    </w:p>
    <w:p w14:paraId="100BF4AF">
      <w:pPr>
        <w:keepNext w:val="0"/>
        <w:keepLines w:val="0"/>
        <w:pageBreakBefore w:val="0"/>
        <w:widowControl/>
        <w:kinsoku/>
        <w:wordWrap/>
        <w:overflowPunct/>
        <w:topLinePunct w:val="0"/>
        <w:autoSpaceDE/>
        <w:autoSpaceDN/>
        <w:bidi w:val="0"/>
        <w:adjustRightInd/>
        <w:snapToGrid/>
        <w:spacing w:before="0" w:beforeAutospacing="0" w:after="0" w:afterAutospacing="0" w:line="580" w:lineRule="exact"/>
        <w:ind w:left="0" w:right="0" w:firstLine="640" w:firstLineChars="200"/>
        <w:jc w:val="left"/>
        <w:textAlignment w:val="auto"/>
        <w:rPr>
          <w:rFonts w:hint="eastAsia" w:ascii="黑体" w:hAnsi="黑体" w:eastAsia="黑体" w:cs="Times New Roman"/>
          <w:color w:val="auto"/>
          <w:kern w:val="0"/>
          <w:sz w:val="32"/>
          <w:szCs w:val="32"/>
          <w:shd w:val="clear" w:color="auto" w:fill="FFFFFF"/>
          <w:lang w:val="en-US" w:eastAsia="zh-CN" w:bidi="ar"/>
        </w:rPr>
      </w:pPr>
      <w:r>
        <w:rPr>
          <w:rFonts w:hint="eastAsia" w:ascii="黑体" w:hAnsi="黑体" w:eastAsia="黑体" w:cs="Times New Roman"/>
          <w:color w:val="auto"/>
          <w:kern w:val="0"/>
          <w:sz w:val="32"/>
          <w:szCs w:val="32"/>
          <w:shd w:val="clear" w:color="auto" w:fill="FFFFFF"/>
          <w:lang w:val="en-US" w:eastAsia="zh-CN" w:bidi="ar"/>
        </w:rPr>
        <w:t>第一条</w:t>
      </w:r>
      <w:r>
        <w:rPr>
          <w:rFonts w:hint="eastAsia" w:ascii="仿宋_GB2312" w:hAnsi="仿宋_GB2312" w:eastAsia="仿宋_GB2312" w:cs="仿宋_GB2312"/>
          <w:color w:val="auto"/>
          <w:kern w:val="0"/>
          <w:sz w:val="32"/>
          <w:szCs w:val="32"/>
          <w:shd w:val="clear" w:color="auto" w:fill="FFFFFF"/>
          <w:lang w:val="en-US" w:eastAsia="zh-CN" w:bidi="ar"/>
        </w:rPr>
        <w:t xml:space="preserve"> 根据《关于支持新一代电子信息产业和生物医药产业率先突破的若干措施》有关规定，制定本细则。</w:t>
      </w:r>
    </w:p>
    <w:p w14:paraId="1490CABC">
      <w:pPr>
        <w:keepNext w:val="0"/>
        <w:keepLines w:val="0"/>
        <w:pageBreakBefore w:val="0"/>
        <w:widowControl/>
        <w:kinsoku/>
        <w:wordWrap/>
        <w:overflowPunct/>
        <w:topLinePunct w:val="0"/>
        <w:autoSpaceDE/>
        <w:autoSpaceDN/>
        <w:bidi w:val="0"/>
        <w:adjustRightInd/>
        <w:snapToGrid/>
        <w:spacing w:before="0" w:beforeAutospacing="0" w:after="0" w:afterAutospacing="0" w:line="580" w:lineRule="exact"/>
        <w:ind w:left="0" w:right="0" w:firstLine="640" w:firstLineChars="200"/>
        <w:jc w:val="left"/>
        <w:textAlignment w:val="auto"/>
        <w:rPr>
          <w:rFonts w:hint="eastAsia" w:ascii="黑体" w:hAnsi="黑体" w:eastAsia="黑体" w:cs="Times New Roman"/>
          <w:color w:val="auto"/>
          <w:kern w:val="0"/>
          <w:sz w:val="32"/>
          <w:szCs w:val="32"/>
          <w:shd w:val="clear" w:color="auto" w:fill="FFFFFF"/>
          <w:lang w:val="en-US" w:eastAsia="zh-CN" w:bidi="ar"/>
        </w:rPr>
      </w:pPr>
      <w:r>
        <w:rPr>
          <w:rFonts w:hint="eastAsia" w:ascii="黑体" w:hAnsi="黑体" w:eastAsia="黑体" w:cs="Times New Roman"/>
          <w:color w:val="auto"/>
          <w:kern w:val="0"/>
          <w:sz w:val="32"/>
          <w:szCs w:val="32"/>
          <w:shd w:val="clear" w:color="auto" w:fill="FFFFFF"/>
          <w:lang w:val="en-US" w:eastAsia="zh-CN" w:bidi="ar"/>
        </w:rPr>
        <w:t>第二条</w:t>
      </w:r>
      <w:r>
        <w:rPr>
          <w:rFonts w:hint="eastAsia" w:ascii="仿宋" w:hAnsi="仿宋" w:eastAsia="仿宋" w:cs="Times New Roman"/>
          <w:color w:val="auto"/>
          <w:kern w:val="0"/>
          <w:sz w:val="32"/>
          <w:szCs w:val="32"/>
          <w:shd w:val="clear" w:color="auto" w:fill="FFFFFF"/>
          <w:lang w:val="en-US" w:eastAsia="zh-CN" w:bidi="ar"/>
        </w:rPr>
        <w:t xml:space="preserve"> </w:t>
      </w:r>
      <w:r>
        <w:rPr>
          <w:rFonts w:hint="eastAsia" w:ascii="仿宋_GB2312" w:hAnsi="仿宋_GB2312" w:eastAsia="仿宋_GB2312" w:cs="仿宋_GB2312"/>
          <w:color w:val="auto"/>
          <w:kern w:val="0"/>
          <w:sz w:val="32"/>
          <w:szCs w:val="32"/>
          <w:shd w:val="clear" w:color="auto" w:fill="FFFFFF"/>
          <w:lang w:val="en-US" w:eastAsia="zh-CN" w:bidi="ar"/>
        </w:rPr>
        <w:t>本细则采用事后奖励方式，所需资金从市主导产业专项资金中列支。</w:t>
      </w:r>
    </w:p>
    <w:p w14:paraId="7CAE9FA5">
      <w:pPr>
        <w:keepNext w:val="0"/>
        <w:keepLines w:val="0"/>
        <w:pageBreakBefore w:val="0"/>
        <w:widowControl w:val="0"/>
        <w:numPr>
          <w:ilvl w:val="0"/>
          <w:numId w:val="0"/>
        </w:numPr>
        <w:tabs>
          <w:tab w:val="left" w:pos="0"/>
        </w:tabs>
        <w:kinsoku/>
        <w:wordWrap/>
        <w:overflowPunct/>
        <w:topLinePunct w:val="0"/>
        <w:autoSpaceDE/>
        <w:autoSpaceDN/>
        <w:bidi w:val="0"/>
        <w:adjustRightInd/>
        <w:snapToGrid/>
        <w:spacing w:line="580" w:lineRule="exact"/>
        <w:ind w:left="40" w:leftChars="0"/>
        <w:jc w:val="center"/>
        <w:textAlignment w:val="auto"/>
        <w:outlineLvl w:val="9"/>
        <w:rPr>
          <w:rFonts w:hint="eastAsia" w:ascii="黑体" w:hAnsi="黑体" w:eastAsia="黑体" w:cs="Times New Roman"/>
          <w:color w:val="auto"/>
          <w:sz w:val="32"/>
          <w:szCs w:val="32"/>
          <w:lang w:eastAsia="zh-CN"/>
        </w:rPr>
      </w:pPr>
      <w:r>
        <w:rPr>
          <w:rFonts w:hint="eastAsia" w:ascii="黑体" w:hAnsi="黑体" w:eastAsia="黑体" w:cs="Times New Roman"/>
          <w:color w:val="auto"/>
          <w:sz w:val="32"/>
          <w:szCs w:val="32"/>
          <w:lang w:eastAsia="zh-CN"/>
        </w:rPr>
        <w:t>第二章</w:t>
      </w:r>
      <w:r>
        <w:rPr>
          <w:rFonts w:hint="eastAsia" w:ascii="黑体" w:hAnsi="黑体" w:eastAsia="黑体" w:cs="Times New Roman"/>
          <w:color w:val="auto"/>
          <w:sz w:val="32"/>
          <w:szCs w:val="32"/>
          <w:lang w:val="en-US" w:eastAsia="zh-CN"/>
        </w:rPr>
        <w:t xml:space="preserve"> </w:t>
      </w:r>
      <w:r>
        <w:rPr>
          <w:rFonts w:hint="eastAsia" w:ascii="黑体" w:hAnsi="黑体" w:eastAsia="黑体" w:cs="Times New Roman"/>
          <w:color w:val="auto"/>
          <w:sz w:val="32"/>
          <w:szCs w:val="32"/>
        </w:rPr>
        <w:t>奖励范围</w:t>
      </w:r>
    </w:p>
    <w:p w14:paraId="08A4DB7C">
      <w:pPr>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80" w:lineRule="exact"/>
        <w:ind w:right="0" w:rightChars="0" w:firstLine="640" w:firstLineChars="200"/>
        <w:jc w:val="left"/>
        <w:textAlignment w:val="auto"/>
        <w:rPr>
          <w:rFonts w:hint="eastAsia" w:ascii="仿宋_GB2312" w:hAnsi="仿宋_GB2312" w:eastAsia="仿宋_GB2312" w:cs="仿宋_GB2312"/>
          <w:color w:val="auto"/>
          <w:kern w:val="0"/>
          <w:sz w:val="32"/>
          <w:szCs w:val="32"/>
          <w:shd w:val="clear" w:color="auto" w:fill="FFFFFF"/>
          <w:lang w:val="en-US" w:eastAsia="zh-CN" w:bidi="ar"/>
        </w:rPr>
      </w:pPr>
      <w:r>
        <w:rPr>
          <w:rFonts w:hint="eastAsia" w:ascii="黑体" w:hAnsi="黑体" w:eastAsia="黑体" w:cs="Times New Roman"/>
          <w:color w:val="auto"/>
          <w:kern w:val="0"/>
          <w:sz w:val="32"/>
          <w:szCs w:val="32"/>
          <w:shd w:val="clear" w:color="auto" w:fill="FFFFFF"/>
          <w:lang w:val="en-US" w:eastAsia="zh-CN" w:bidi="ar"/>
        </w:rPr>
        <w:t>第三条</w:t>
      </w:r>
      <w:r>
        <w:rPr>
          <w:rFonts w:hint="eastAsia" w:ascii="仿宋" w:hAnsi="仿宋" w:eastAsia="仿宋" w:cs="Times New Roman"/>
          <w:color w:val="auto"/>
          <w:kern w:val="0"/>
          <w:sz w:val="32"/>
          <w:szCs w:val="32"/>
          <w:shd w:val="clear" w:color="auto" w:fill="FFFFFF"/>
          <w:lang w:val="en-US" w:eastAsia="zh-CN" w:bidi="ar"/>
        </w:rPr>
        <w:t xml:space="preserve"> </w:t>
      </w:r>
      <w:r>
        <w:rPr>
          <w:rFonts w:hint="eastAsia" w:ascii="仿宋_GB2312" w:hAnsi="仿宋_GB2312" w:eastAsia="仿宋_GB2312" w:cs="仿宋_GB2312"/>
          <w:color w:val="auto"/>
          <w:kern w:val="0"/>
          <w:sz w:val="32"/>
          <w:szCs w:val="32"/>
          <w:shd w:val="clear" w:color="auto" w:fill="FFFFFF"/>
          <w:lang w:val="en-US" w:eastAsia="zh-CN" w:bidi="ar"/>
        </w:rPr>
        <w:t>奖励适用于石家庄市新一代电子信息产业、生物医药产业领域，新认定的国家（含国家部委）、省企业技术中心，按期完成建设任务并通过确认的国家、省产业技术工程化中心（工程研究中心）、产业创新中心、重大科技基础设施等创新平台。</w:t>
      </w:r>
    </w:p>
    <w:p w14:paraId="112669BE">
      <w:pPr>
        <w:keepNext w:val="0"/>
        <w:keepLines w:val="0"/>
        <w:pageBreakBefore w:val="0"/>
        <w:widowControl w:val="0"/>
        <w:numPr>
          <w:ilvl w:val="0"/>
          <w:numId w:val="0"/>
        </w:numPr>
        <w:tabs>
          <w:tab w:val="left" w:pos="0"/>
        </w:tabs>
        <w:kinsoku/>
        <w:wordWrap/>
        <w:overflowPunct/>
        <w:topLinePunct w:val="0"/>
        <w:autoSpaceDE/>
        <w:autoSpaceDN/>
        <w:bidi w:val="0"/>
        <w:adjustRightInd/>
        <w:snapToGrid/>
        <w:spacing w:line="580" w:lineRule="exact"/>
        <w:ind w:left="40" w:leftChars="0" w:firstLine="0" w:firstLineChars="0"/>
        <w:jc w:val="center"/>
        <w:textAlignment w:val="auto"/>
        <w:outlineLvl w:val="9"/>
        <w:rPr>
          <w:rFonts w:hint="eastAsia" w:ascii="黑体" w:hAnsi="黑体" w:eastAsia="黑体" w:cs="Times New Roman"/>
          <w:color w:val="auto"/>
          <w:sz w:val="32"/>
          <w:szCs w:val="32"/>
          <w:lang w:eastAsia="zh-CN"/>
        </w:rPr>
      </w:pPr>
      <w:r>
        <w:rPr>
          <w:rFonts w:hint="eastAsia" w:ascii="黑体" w:hAnsi="黑体" w:eastAsia="黑体" w:cs="Times New Roman"/>
          <w:color w:val="auto"/>
          <w:sz w:val="32"/>
          <w:szCs w:val="32"/>
          <w:lang w:eastAsia="zh-CN"/>
        </w:rPr>
        <w:t>第三章</w:t>
      </w:r>
      <w:r>
        <w:rPr>
          <w:rFonts w:hint="eastAsia" w:ascii="黑体" w:hAnsi="黑体" w:eastAsia="黑体" w:cs="Times New Roman"/>
          <w:color w:val="auto"/>
          <w:sz w:val="32"/>
          <w:szCs w:val="32"/>
          <w:lang w:val="en-US" w:eastAsia="zh-CN"/>
        </w:rPr>
        <w:t xml:space="preserve"> </w:t>
      </w:r>
      <w:r>
        <w:rPr>
          <w:rFonts w:hint="eastAsia" w:ascii="黑体" w:hAnsi="黑体" w:eastAsia="黑体" w:cs="Times New Roman"/>
          <w:color w:val="auto"/>
          <w:sz w:val="32"/>
          <w:szCs w:val="32"/>
        </w:rPr>
        <w:t>奖励标准</w:t>
      </w:r>
    </w:p>
    <w:p w14:paraId="6A414A78">
      <w:pPr>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80" w:lineRule="exact"/>
        <w:ind w:right="0" w:rightChars="0" w:firstLine="640" w:firstLineChars="200"/>
        <w:jc w:val="left"/>
        <w:textAlignment w:val="auto"/>
        <w:rPr>
          <w:rFonts w:hint="eastAsia" w:ascii="仿宋_GB2312" w:hAnsi="仿宋_GB2312" w:eastAsia="仿宋_GB2312" w:cs="仿宋_GB2312"/>
          <w:color w:val="auto"/>
          <w:kern w:val="0"/>
          <w:sz w:val="32"/>
          <w:szCs w:val="32"/>
          <w:shd w:val="clear" w:color="auto" w:fill="FFFFFF"/>
          <w:lang w:val="en-US" w:eastAsia="zh-CN" w:bidi="ar"/>
        </w:rPr>
      </w:pPr>
      <w:r>
        <w:rPr>
          <w:rFonts w:hint="eastAsia" w:ascii="黑体" w:hAnsi="黑体" w:eastAsia="黑体" w:cs="Times New Roman"/>
          <w:color w:val="auto"/>
          <w:kern w:val="0"/>
          <w:sz w:val="32"/>
          <w:szCs w:val="32"/>
          <w:shd w:val="clear" w:color="auto" w:fill="FFFFFF"/>
          <w:lang w:val="en-US" w:eastAsia="zh-CN" w:bidi="ar"/>
        </w:rPr>
        <w:t xml:space="preserve">第四条 </w:t>
      </w:r>
      <w:r>
        <w:rPr>
          <w:rFonts w:hint="eastAsia" w:ascii="仿宋_GB2312" w:hAnsi="仿宋_GB2312" w:eastAsia="仿宋_GB2312" w:cs="仿宋_GB2312"/>
          <w:color w:val="auto"/>
          <w:kern w:val="0"/>
          <w:sz w:val="32"/>
          <w:szCs w:val="32"/>
          <w:shd w:val="clear" w:color="auto" w:fill="FFFFFF"/>
          <w:lang w:val="en-US" w:eastAsia="zh-CN" w:bidi="ar"/>
        </w:rPr>
        <w:t>对新认定的国家（国家地方联合）产业技术工程化中心、国家产业创新中心、国家重大科技基础设施、国家发改委企业技术中心（含企业技术中心分中心），省企业技术中心、工程研究中心、产业创新中心等创新平台分别给予200万元、100万元一次性奖励。</w:t>
      </w:r>
    </w:p>
    <w:p w14:paraId="0BBF465F">
      <w:pPr>
        <w:keepNext w:val="0"/>
        <w:keepLines w:val="0"/>
        <w:pageBreakBefore w:val="0"/>
        <w:widowControl w:val="0"/>
        <w:numPr>
          <w:ilvl w:val="0"/>
          <w:numId w:val="0"/>
        </w:numPr>
        <w:tabs>
          <w:tab w:val="left" w:pos="0"/>
        </w:tabs>
        <w:kinsoku/>
        <w:wordWrap/>
        <w:overflowPunct/>
        <w:topLinePunct w:val="0"/>
        <w:autoSpaceDE/>
        <w:autoSpaceDN/>
        <w:bidi w:val="0"/>
        <w:adjustRightInd/>
        <w:snapToGrid/>
        <w:spacing w:line="580" w:lineRule="exact"/>
        <w:ind w:left="40" w:leftChars="0" w:firstLine="0" w:firstLineChars="0"/>
        <w:jc w:val="center"/>
        <w:textAlignment w:val="auto"/>
        <w:outlineLvl w:val="9"/>
        <w:rPr>
          <w:rFonts w:hint="eastAsia" w:ascii="黑体" w:hAnsi="黑体" w:eastAsia="黑体" w:cs="Times New Roman"/>
          <w:color w:val="auto"/>
          <w:sz w:val="32"/>
          <w:szCs w:val="32"/>
          <w:lang w:eastAsia="zh-CN"/>
        </w:rPr>
      </w:pPr>
      <w:r>
        <w:rPr>
          <w:rFonts w:hint="eastAsia" w:ascii="黑体" w:hAnsi="黑体" w:eastAsia="黑体" w:cs="Times New Roman"/>
          <w:color w:val="auto"/>
          <w:sz w:val="32"/>
          <w:szCs w:val="32"/>
          <w:lang w:eastAsia="zh-CN"/>
        </w:rPr>
        <w:t>第四章</w:t>
      </w:r>
      <w:r>
        <w:rPr>
          <w:rFonts w:hint="eastAsia" w:ascii="黑体" w:hAnsi="黑体" w:eastAsia="黑体" w:cs="Times New Roman"/>
          <w:color w:val="auto"/>
          <w:sz w:val="32"/>
          <w:szCs w:val="32"/>
          <w:lang w:val="en-US" w:eastAsia="zh-CN"/>
        </w:rPr>
        <w:t xml:space="preserve"> </w:t>
      </w:r>
      <w:r>
        <w:rPr>
          <w:rFonts w:hint="eastAsia" w:ascii="黑体" w:hAnsi="黑体" w:eastAsia="黑体" w:cs="Times New Roman"/>
          <w:color w:val="auto"/>
          <w:sz w:val="32"/>
          <w:szCs w:val="32"/>
        </w:rPr>
        <w:t>申报程序</w:t>
      </w:r>
    </w:p>
    <w:p w14:paraId="36A42026">
      <w:pPr>
        <w:keepNext w:val="0"/>
        <w:keepLines w:val="0"/>
        <w:pageBreakBefore w:val="0"/>
        <w:widowControl/>
        <w:kinsoku/>
        <w:wordWrap/>
        <w:overflowPunct/>
        <w:topLinePunct w:val="0"/>
        <w:autoSpaceDE/>
        <w:autoSpaceDN/>
        <w:bidi w:val="0"/>
        <w:adjustRightInd/>
        <w:snapToGrid/>
        <w:spacing w:before="0" w:beforeAutospacing="0" w:after="0" w:afterAutospacing="0" w:line="580" w:lineRule="exact"/>
        <w:ind w:left="0" w:right="0" w:firstLine="640" w:firstLineChars="200"/>
        <w:jc w:val="left"/>
        <w:textAlignment w:val="auto"/>
        <w:rPr>
          <w:rFonts w:hint="eastAsia" w:ascii="黑体" w:hAnsi="黑体" w:eastAsia="黑体" w:cs="Times New Roman"/>
          <w:color w:val="auto"/>
          <w:kern w:val="0"/>
          <w:sz w:val="32"/>
          <w:szCs w:val="32"/>
          <w:shd w:val="clear" w:color="auto" w:fill="FFFFFF"/>
          <w:lang w:val="en-US" w:eastAsia="zh-CN" w:bidi="ar"/>
        </w:rPr>
      </w:pPr>
    </w:p>
    <w:p w14:paraId="6602BD5B">
      <w:pPr>
        <w:keepNext w:val="0"/>
        <w:keepLines w:val="0"/>
        <w:pageBreakBefore w:val="0"/>
        <w:widowControl/>
        <w:kinsoku/>
        <w:wordWrap/>
        <w:overflowPunct/>
        <w:topLinePunct w:val="0"/>
        <w:autoSpaceDE/>
        <w:autoSpaceDN/>
        <w:bidi w:val="0"/>
        <w:adjustRightInd/>
        <w:snapToGrid/>
        <w:spacing w:before="0" w:beforeAutospacing="0" w:after="0" w:afterAutospacing="0" w:line="580" w:lineRule="exact"/>
        <w:ind w:left="0" w:right="0" w:firstLine="640" w:firstLineChars="200"/>
        <w:jc w:val="left"/>
        <w:textAlignment w:val="auto"/>
        <w:rPr>
          <w:rFonts w:hint="eastAsia" w:ascii="仿宋_GB2312" w:hAnsi="仿宋_GB2312" w:eastAsia="仿宋_GB2312" w:cs="仿宋_GB2312"/>
          <w:color w:val="auto"/>
          <w:kern w:val="0"/>
          <w:sz w:val="32"/>
          <w:szCs w:val="32"/>
          <w:shd w:val="clear" w:color="auto" w:fill="FFFFFF"/>
          <w:lang w:val="en-US" w:eastAsia="zh-CN" w:bidi="ar"/>
        </w:rPr>
      </w:pPr>
      <w:r>
        <w:rPr>
          <w:rFonts w:hint="eastAsia" w:ascii="黑体" w:hAnsi="黑体" w:eastAsia="黑体" w:cs="Times New Roman"/>
          <w:color w:val="auto"/>
          <w:kern w:val="0"/>
          <w:sz w:val="32"/>
          <w:szCs w:val="32"/>
          <w:shd w:val="clear" w:color="auto" w:fill="FFFFFF"/>
          <w:lang w:val="en-US" w:eastAsia="zh-CN" w:bidi="ar"/>
        </w:rPr>
        <w:t>第五条</w:t>
      </w:r>
      <w:r>
        <w:rPr>
          <w:rFonts w:hint="eastAsia" w:ascii="仿宋" w:hAnsi="仿宋" w:eastAsia="仿宋" w:cs="Times New Roman"/>
          <w:color w:val="auto"/>
          <w:kern w:val="0"/>
          <w:sz w:val="32"/>
          <w:szCs w:val="32"/>
          <w:shd w:val="clear" w:color="auto" w:fill="FFFFFF"/>
          <w:lang w:val="en-US" w:eastAsia="zh-CN" w:bidi="ar"/>
        </w:rPr>
        <w:t xml:space="preserve"> </w:t>
      </w:r>
      <w:r>
        <w:rPr>
          <w:rFonts w:hint="eastAsia" w:ascii="仿宋_GB2312" w:hAnsi="仿宋_GB2312" w:eastAsia="仿宋_GB2312" w:cs="仿宋_GB2312"/>
          <w:color w:val="auto"/>
          <w:kern w:val="0"/>
          <w:sz w:val="32"/>
          <w:szCs w:val="32"/>
          <w:shd w:val="clear" w:color="auto" w:fill="FFFFFF"/>
          <w:lang w:val="en-US" w:eastAsia="zh-CN" w:bidi="ar"/>
        </w:rPr>
        <w:t>按照逐级申报原则，由新认定的国家、省创新平台建设单位向县（市、区）发展改革部门提出申请，县（市、区）发展改革部门审核后汇总上报市发展改革委。</w:t>
      </w:r>
    </w:p>
    <w:p w14:paraId="399472B5">
      <w:pPr>
        <w:keepNext w:val="0"/>
        <w:keepLines w:val="0"/>
        <w:pageBreakBefore w:val="0"/>
        <w:widowControl/>
        <w:kinsoku/>
        <w:wordWrap/>
        <w:overflowPunct/>
        <w:topLinePunct w:val="0"/>
        <w:autoSpaceDE/>
        <w:autoSpaceDN/>
        <w:bidi w:val="0"/>
        <w:adjustRightInd/>
        <w:snapToGrid/>
        <w:spacing w:before="0" w:beforeAutospacing="0" w:after="0" w:afterAutospacing="0" w:line="580" w:lineRule="exact"/>
        <w:ind w:left="0" w:right="0" w:firstLine="640" w:firstLineChars="200"/>
        <w:jc w:val="left"/>
        <w:textAlignment w:val="auto"/>
        <w:rPr>
          <w:rFonts w:hint="eastAsia" w:ascii="仿宋_GB2312" w:hAnsi="仿宋_GB2312" w:eastAsia="仿宋_GB2312" w:cs="仿宋_GB2312"/>
          <w:color w:val="auto"/>
          <w:kern w:val="0"/>
          <w:sz w:val="32"/>
          <w:szCs w:val="32"/>
          <w:shd w:val="clear" w:color="auto" w:fill="FFFFFF"/>
          <w:lang w:val="en-US" w:eastAsia="zh-CN" w:bidi="ar"/>
        </w:rPr>
      </w:pPr>
      <w:r>
        <w:rPr>
          <w:rFonts w:hint="eastAsia" w:ascii="黑体" w:hAnsi="黑体" w:eastAsia="黑体" w:cs="Times New Roman"/>
          <w:color w:val="auto"/>
          <w:kern w:val="0"/>
          <w:sz w:val="32"/>
          <w:szCs w:val="32"/>
          <w:shd w:val="clear" w:color="auto" w:fill="FFFFFF"/>
          <w:lang w:val="en-US" w:eastAsia="zh-CN" w:bidi="ar"/>
        </w:rPr>
        <w:t>第六条</w:t>
      </w:r>
      <w:r>
        <w:rPr>
          <w:rFonts w:hint="eastAsia" w:ascii="仿宋" w:hAnsi="仿宋" w:eastAsia="仿宋" w:cs="Times New Roman"/>
          <w:color w:val="auto"/>
          <w:kern w:val="0"/>
          <w:sz w:val="32"/>
          <w:szCs w:val="32"/>
          <w:shd w:val="clear" w:color="auto" w:fill="FFFFFF"/>
          <w:lang w:val="en-US" w:eastAsia="zh-CN" w:bidi="ar"/>
        </w:rPr>
        <w:t xml:space="preserve"> </w:t>
      </w:r>
      <w:r>
        <w:rPr>
          <w:rFonts w:hint="eastAsia" w:ascii="仿宋_GB2312" w:hAnsi="仿宋_GB2312" w:eastAsia="仿宋_GB2312" w:cs="仿宋_GB2312"/>
          <w:color w:val="auto"/>
          <w:kern w:val="0"/>
          <w:sz w:val="32"/>
          <w:szCs w:val="32"/>
          <w:shd w:val="clear" w:color="auto" w:fill="FFFFFF"/>
          <w:lang w:val="en-US" w:eastAsia="zh-CN" w:bidi="ar"/>
        </w:rPr>
        <w:t>申请单位需提供平台认定批复文件及真实性声明。</w:t>
      </w:r>
    </w:p>
    <w:p w14:paraId="22B83163">
      <w:pPr>
        <w:keepNext w:val="0"/>
        <w:keepLines w:val="0"/>
        <w:pageBreakBefore w:val="0"/>
        <w:widowControl/>
        <w:kinsoku/>
        <w:wordWrap/>
        <w:overflowPunct/>
        <w:topLinePunct w:val="0"/>
        <w:autoSpaceDE/>
        <w:autoSpaceDN/>
        <w:bidi w:val="0"/>
        <w:adjustRightInd/>
        <w:snapToGrid/>
        <w:spacing w:before="0" w:beforeAutospacing="0" w:after="0" w:afterAutospacing="0" w:line="580" w:lineRule="exact"/>
        <w:ind w:left="0" w:right="0" w:firstLine="640" w:firstLineChars="200"/>
        <w:jc w:val="left"/>
        <w:textAlignment w:val="auto"/>
        <w:rPr>
          <w:rFonts w:hint="eastAsia" w:ascii="仿宋_GB2312" w:hAnsi="仿宋_GB2312" w:eastAsia="仿宋_GB2312" w:cs="仿宋_GB2312"/>
          <w:color w:val="auto"/>
          <w:kern w:val="0"/>
          <w:sz w:val="32"/>
          <w:szCs w:val="32"/>
          <w:shd w:val="clear" w:color="auto" w:fill="FFFFFF"/>
          <w:lang w:val="en-US" w:eastAsia="zh-CN" w:bidi="ar"/>
        </w:rPr>
      </w:pPr>
      <w:r>
        <w:rPr>
          <w:rFonts w:hint="eastAsia" w:ascii="黑体" w:hAnsi="黑体" w:eastAsia="黑体" w:cs="Times New Roman"/>
          <w:color w:val="auto"/>
          <w:kern w:val="0"/>
          <w:sz w:val="32"/>
          <w:szCs w:val="32"/>
          <w:shd w:val="clear" w:color="auto" w:fill="FFFFFF"/>
          <w:lang w:val="en-US" w:eastAsia="zh-CN" w:bidi="ar"/>
        </w:rPr>
        <w:t xml:space="preserve">第七条 </w:t>
      </w:r>
      <w:r>
        <w:rPr>
          <w:rFonts w:hint="eastAsia" w:ascii="仿宋_GB2312" w:hAnsi="仿宋_GB2312" w:eastAsia="仿宋_GB2312" w:cs="仿宋_GB2312"/>
          <w:color w:val="auto"/>
          <w:kern w:val="0"/>
          <w:sz w:val="32"/>
          <w:szCs w:val="32"/>
          <w:shd w:val="clear" w:color="auto" w:fill="FFFFFF"/>
          <w:lang w:val="en-US" w:eastAsia="zh-CN" w:bidi="ar"/>
        </w:rPr>
        <w:t>市发展改革委对申报材料进行核实，提出奖励</w:t>
      </w:r>
    </w:p>
    <w:p w14:paraId="39BE074F">
      <w:pPr>
        <w:keepNext w:val="0"/>
        <w:keepLines w:val="0"/>
        <w:pageBreakBefore w:val="0"/>
        <w:widowControl/>
        <w:kinsoku/>
        <w:wordWrap/>
        <w:overflowPunct/>
        <w:topLinePunct w:val="0"/>
        <w:autoSpaceDE/>
        <w:autoSpaceDN/>
        <w:bidi w:val="0"/>
        <w:adjustRightInd/>
        <w:snapToGrid/>
        <w:spacing w:before="0" w:beforeAutospacing="0" w:after="0" w:afterAutospacing="0" w:line="580" w:lineRule="exact"/>
        <w:ind w:right="0"/>
        <w:jc w:val="left"/>
        <w:textAlignment w:val="auto"/>
        <w:rPr>
          <w:rFonts w:hint="eastAsia" w:ascii="仿宋_GB2312" w:hAnsi="仿宋_GB2312" w:eastAsia="仿宋_GB2312" w:cs="仿宋_GB2312"/>
          <w:color w:val="auto"/>
          <w:kern w:val="0"/>
          <w:sz w:val="32"/>
          <w:szCs w:val="32"/>
          <w:shd w:val="clear" w:color="auto" w:fill="FFFFFF"/>
          <w:lang w:val="en-US" w:eastAsia="zh-CN" w:bidi="ar"/>
        </w:rPr>
      </w:pPr>
      <w:r>
        <w:rPr>
          <w:rFonts w:hint="eastAsia" w:ascii="仿宋_GB2312" w:hAnsi="仿宋_GB2312" w:eastAsia="仿宋_GB2312" w:cs="仿宋_GB2312"/>
          <w:color w:val="auto"/>
          <w:kern w:val="0"/>
          <w:sz w:val="32"/>
          <w:szCs w:val="32"/>
          <w:shd w:val="clear" w:color="auto" w:fill="FFFFFF"/>
          <w:lang w:val="en-US" w:eastAsia="zh-CN" w:bidi="ar"/>
        </w:rPr>
        <w:t>意见，在本部门网站公示5天。</w:t>
      </w:r>
    </w:p>
    <w:p w14:paraId="225A8EB4">
      <w:pPr>
        <w:keepNext w:val="0"/>
        <w:keepLines w:val="0"/>
        <w:pageBreakBefore w:val="0"/>
        <w:widowControl w:val="0"/>
        <w:numPr>
          <w:ilvl w:val="0"/>
          <w:numId w:val="0"/>
        </w:numPr>
        <w:tabs>
          <w:tab w:val="left" w:pos="0"/>
        </w:tabs>
        <w:kinsoku/>
        <w:wordWrap/>
        <w:overflowPunct/>
        <w:topLinePunct w:val="0"/>
        <w:autoSpaceDE/>
        <w:autoSpaceDN/>
        <w:bidi w:val="0"/>
        <w:adjustRightInd/>
        <w:snapToGrid/>
        <w:spacing w:line="580" w:lineRule="exact"/>
        <w:ind w:left="0" w:leftChars="0" w:firstLine="0" w:firstLineChars="0"/>
        <w:jc w:val="center"/>
        <w:textAlignment w:val="auto"/>
        <w:outlineLvl w:val="9"/>
        <w:rPr>
          <w:rFonts w:hint="eastAsia" w:ascii="黑体" w:hAnsi="黑体" w:eastAsia="黑体" w:cs="Times New Roman"/>
          <w:color w:val="auto"/>
          <w:sz w:val="32"/>
          <w:szCs w:val="32"/>
          <w:lang w:eastAsia="zh-CN"/>
        </w:rPr>
      </w:pPr>
      <w:r>
        <w:rPr>
          <w:rFonts w:hint="eastAsia" w:ascii="黑体" w:hAnsi="黑体" w:eastAsia="黑体" w:cs="Times New Roman"/>
          <w:color w:val="auto"/>
          <w:sz w:val="32"/>
          <w:szCs w:val="32"/>
          <w:lang w:eastAsia="zh-CN"/>
        </w:rPr>
        <w:t>第五章</w:t>
      </w:r>
      <w:r>
        <w:rPr>
          <w:rFonts w:hint="eastAsia" w:ascii="黑体" w:hAnsi="黑体" w:eastAsia="黑体" w:cs="Times New Roman"/>
          <w:color w:val="auto"/>
          <w:sz w:val="32"/>
          <w:szCs w:val="32"/>
          <w:lang w:val="en-US" w:eastAsia="zh-CN"/>
        </w:rPr>
        <w:t xml:space="preserve"> </w:t>
      </w:r>
      <w:r>
        <w:rPr>
          <w:rFonts w:hint="eastAsia" w:ascii="黑体" w:hAnsi="黑体" w:eastAsia="黑体" w:cs="Times New Roman"/>
          <w:color w:val="auto"/>
          <w:sz w:val="32"/>
          <w:szCs w:val="32"/>
        </w:rPr>
        <w:t>资金拨付与</w:t>
      </w:r>
      <w:r>
        <w:rPr>
          <w:rFonts w:hint="eastAsia" w:ascii="黑体" w:hAnsi="黑体" w:eastAsia="黑体" w:cs="Times New Roman"/>
          <w:color w:val="auto"/>
          <w:sz w:val="32"/>
          <w:szCs w:val="32"/>
          <w:lang w:eastAsia="zh-CN"/>
        </w:rPr>
        <w:t>绩效评价</w:t>
      </w:r>
    </w:p>
    <w:p w14:paraId="2044F988">
      <w:pPr>
        <w:keepNext w:val="0"/>
        <w:keepLines w:val="0"/>
        <w:pageBreakBefore w:val="0"/>
        <w:numPr>
          <w:ilvl w:val="0"/>
          <w:numId w:val="0"/>
        </w:numPr>
        <w:tabs>
          <w:tab w:val="left" w:pos="0"/>
        </w:tabs>
        <w:kinsoku/>
        <w:overflowPunct/>
        <w:topLinePunct w:val="0"/>
        <w:autoSpaceDE/>
        <w:autoSpaceDN/>
        <w:bidi w:val="0"/>
        <w:adjustRightInd/>
        <w:snapToGrid/>
        <w:spacing w:line="580" w:lineRule="exact"/>
        <w:ind w:leftChars="200" w:firstLine="320" w:firstLineChars="100"/>
        <w:jc w:val="left"/>
        <w:textAlignment w:val="auto"/>
        <w:rPr>
          <w:rFonts w:hint="eastAsia" w:ascii="仿宋_GB2312" w:hAnsi="仿宋_GB2312" w:eastAsia="仿宋_GB2312" w:cs="仿宋_GB2312"/>
          <w:color w:val="auto"/>
          <w:kern w:val="0"/>
          <w:sz w:val="32"/>
          <w:szCs w:val="32"/>
          <w:shd w:val="clear" w:color="auto" w:fill="FFFFFF"/>
          <w:lang w:val="en-US" w:eastAsia="zh-CN" w:bidi="ar"/>
        </w:rPr>
      </w:pPr>
      <w:r>
        <w:rPr>
          <w:rFonts w:hint="eastAsia" w:ascii="黑体" w:hAnsi="黑体" w:eastAsia="黑体" w:cs="Times New Roman"/>
          <w:color w:val="auto"/>
          <w:kern w:val="0"/>
          <w:sz w:val="32"/>
          <w:szCs w:val="32"/>
          <w:shd w:val="clear" w:color="auto" w:fill="FFFFFF"/>
          <w:lang w:val="en-US" w:eastAsia="zh-CN" w:bidi="ar"/>
        </w:rPr>
        <w:t>第八条</w:t>
      </w:r>
      <w:r>
        <w:rPr>
          <w:rFonts w:hint="eastAsia" w:ascii="仿宋" w:hAnsi="仿宋" w:eastAsia="仿宋" w:cs="仿宋"/>
          <w:color w:val="auto"/>
          <w:kern w:val="0"/>
          <w:sz w:val="32"/>
          <w:szCs w:val="32"/>
          <w:shd w:val="clear" w:color="auto" w:fill="FFFFFF"/>
          <w:lang w:val="en-US" w:eastAsia="zh-CN" w:bidi="ar"/>
        </w:rPr>
        <w:t xml:space="preserve"> </w:t>
      </w:r>
      <w:r>
        <w:rPr>
          <w:rFonts w:hint="eastAsia" w:ascii="仿宋_GB2312" w:hAnsi="仿宋_GB2312" w:eastAsia="仿宋_GB2312" w:cs="仿宋_GB2312"/>
          <w:color w:val="auto"/>
          <w:sz w:val="32"/>
          <w:szCs w:val="32"/>
        </w:rPr>
        <w:t>公示无异议的，市发展改革委将奖励资金安排</w:t>
      </w:r>
    </w:p>
    <w:p w14:paraId="0A7FF57F">
      <w:pPr>
        <w:keepNext w:val="0"/>
        <w:keepLines w:val="0"/>
        <w:pageBreakBefore w:val="0"/>
        <w:numPr>
          <w:ilvl w:val="0"/>
          <w:numId w:val="0"/>
        </w:numPr>
        <w:tabs>
          <w:tab w:val="left" w:pos="0"/>
        </w:tabs>
        <w:kinsoku/>
        <w:overflowPunct/>
        <w:topLinePunct w:val="0"/>
        <w:autoSpaceDE/>
        <w:autoSpaceDN/>
        <w:bidi w:val="0"/>
        <w:adjustRightInd/>
        <w:snapToGrid/>
        <w:spacing w:line="580" w:lineRule="exact"/>
        <w:ind w:leftChars="0" w:firstLine="0" w:firstLineChars="0"/>
        <w:jc w:val="left"/>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意见报市政府批准后，市财政局按程序</w:t>
      </w:r>
      <w:r>
        <w:rPr>
          <w:rFonts w:hint="eastAsia" w:ascii="仿宋_GB2312" w:hAnsi="仿宋_GB2312" w:eastAsia="仿宋_GB2312" w:cs="仿宋_GB2312"/>
          <w:color w:val="auto"/>
          <w:sz w:val="32"/>
          <w:szCs w:val="32"/>
          <w:lang w:eastAsia="zh-CN"/>
        </w:rPr>
        <w:t>将奖励资金下达至有关县（市、区）具体落实</w:t>
      </w:r>
      <w:r>
        <w:rPr>
          <w:rFonts w:hint="eastAsia" w:ascii="仿宋_GB2312" w:hAnsi="仿宋_GB2312" w:eastAsia="仿宋_GB2312" w:cs="仿宋_GB2312"/>
          <w:color w:val="auto"/>
          <w:sz w:val="32"/>
          <w:szCs w:val="32"/>
        </w:rPr>
        <w:t>。</w:t>
      </w:r>
    </w:p>
    <w:p w14:paraId="67CA3036">
      <w:pPr>
        <w:keepNext w:val="0"/>
        <w:keepLines w:val="0"/>
        <w:pageBreakBefore w:val="0"/>
        <w:numPr>
          <w:ilvl w:val="0"/>
          <w:numId w:val="0"/>
        </w:numPr>
        <w:tabs>
          <w:tab w:val="left" w:pos="0"/>
        </w:tabs>
        <w:kinsoku/>
        <w:overflowPunct/>
        <w:topLinePunct w:val="0"/>
        <w:autoSpaceDE/>
        <w:autoSpaceDN/>
        <w:bidi w:val="0"/>
        <w:adjustRightInd/>
        <w:snapToGrid/>
        <w:spacing w:line="580" w:lineRule="exact"/>
        <w:ind w:firstLine="640" w:firstLineChars="200"/>
        <w:jc w:val="left"/>
        <w:textAlignment w:val="auto"/>
        <w:rPr>
          <w:rFonts w:hint="eastAsia" w:ascii="仿宋" w:hAnsi="仿宋" w:eastAsia="仿宋" w:cs="仿宋"/>
          <w:color w:val="auto"/>
          <w:sz w:val="32"/>
          <w:szCs w:val="32"/>
        </w:rPr>
      </w:pPr>
      <w:r>
        <w:rPr>
          <w:rFonts w:hint="eastAsia" w:ascii="黑体" w:hAnsi="黑体" w:eastAsia="黑体" w:cs="Times New Roman"/>
          <w:color w:val="auto"/>
          <w:kern w:val="0"/>
          <w:sz w:val="32"/>
          <w:szCs w:val="32"/>
          <w:shd w:val="clear" w:color="auto" w:fill="FFFFFF"/>
          <w:lang w:val="en-US" w:eastAsia="zh-CN" w:bidi="ar"/>
        </w:rPr>
        <w:t>第九条</w:t>
      </w:r>
      <w:r>
        <w:rPr>
          <w:rFonts w:hint="eastAsia" w:ascii="仿宋_GB2312" w:hAnsi="仿宋_GB2312" w:eastAsia="仿宋_GB2312" w:cs="仿宋_GB2312"/>
          <w:color w:val="auto"/>
          <w:kern w:val="0"/>
          <w:sz w:val="32"/>
          <w:szCs w:val="32"/>
          <w:shd w:val="clear" w:color="auto" w:fill="FFFFFF"/>
          <w:lang w:val="en-US" w:eastAsia="zh-CN" w:bidi="ar"/>
        </w:rPr>
        <w:t xml:space="preserve"> </w:t>
      </w:r>
      <w:r>
        <w:rPr>
          <w:rFonts w:hint="eastAsia" w:ascii="仿宋_GB2312" w:hAnsi="仿宋_GB2312" w:eastAsia="仿宋_GB2312" w:cs="仿宋_GB2312"/>
          <w:color w:val="auto"/>
          <w:sz w:val="32"/>
          <w:szCs w:val="32"/>
          <w:shd w:val="clear" w:color="auto" w:fill="FFFFFF"/>
          <w:lang w:eastAsia="zh-CN"/>
        </w:rPr>
        <w:t>对在申报过程中</w:t>
      </w:r>
      <w:r>
        <w:rPr>
          <w:rFonts w:hint="eastAsia" w:ascii="仿宋_GB2312" w:hAnsi="仿宋_GB2312" w:eastAsia="仿宋_GB2312" w:cs="仿宋_GB2312"/>
          <w:color w:val="auto"/>
          <w:sz w:val="32"/>
          <w:szCs w:val="32"/>
          <w:shd w:val="clear" w:color="auto" w:fill="FFFFFF"/>
        </w:rPr>
        <w:t>存在弄虚作假行为</w:t>
      </w:r>
      <w:r>
        <w:rPr>
          <w:rFonts w:hint="eastAsia" w:ascii="仿宋_GB2312" w:hAnsi="仿宋_GB2312" w:eastAsia="仿宋_GB2312" w:cs="仿宋_GB2312"/>
          <w:color w:val="auto"/>
          <w:sz w:val="32"/>
          <w:szCs w:val="32"/>
          <w:shd w:val="clear" w:color="auto" w:fill="FFFFFF"/>
          <w:lang w:eastAsia="zh-CN"/>
        </w:rPr>
        <w:t>的</w:t>
      </w:r>
      <w:r>
        <w:rPr>
          <w:rFonts w:hint="eastAsia" w:ascii="仿宋_GB2312" w:hAnsi="仿宋_GB2312" w:eastAsia="仿宋_GB2312" w:cs="仿宋_GB2312"/>
          <w:color w:val="auto"/>
          <w:sz w:val="32"/>
          <w:szCs w:val="32"/>
          <w:shd w:val="clear" w:color="auto" w:fill="FFFFFF"/>
        </w:rPr>
        <w:t>，一经查实</w:t>
      </w:r>
      <w:r>
        <w:rPr>
          <w:rFonts w:hint="eastAsia" w:ascii="仿宋_GB2312" w:hAnsi="仿宋_GB2312" w:eastAsia="仿宋_GB2312" w:cs="仿宋_GB2312"/>
          <w:color w:val="auto"/>
          <w:sz w:val="32"/>
          <w:szCs w:val="32"/>
          <w:shd w:val="clear" w:color="auto" w:fill="FFFFFF"/>
          <w:lang w:eastAsia="zh-CN"/>
        </w:rPr>
        <w:t>，将取消申报单位资格，收回奖励资金，</w:t>
      </w:r>
      <w:r>
        <w:rPr>
          <w:rFonts w:hint="eastAsia" w:ascii="仿宋_GB2312" w:hAnsi="仿宋_GB2312" w:eastAsia="仿宋_GB2312" w:cs="仿宋_GB2312"/>
          <w:color w:val="auto"/>
          <w:sz w:val="32"/>
          <w:szCs w:val="32"/>
          <w:shd w:val="clear" w:color="auto" w:fill="FFFFFF"/>
          <w:lang w:val="en-US" w:eastAsia="zh-CN"/>
        </w:rPr>
        <w:t>并依法依规进行处罚</w:t>
      </w:r>
      <w:r>
        <w:rPr>
          <w:rFonts w:hint="eastAsia" w:ascii="仿宋_GB2312" w:hAnsi="仿宋_GB2312" w:eastAsia="仿宋_GB2312" w:cs="仿宋_GB2312"/>
          <w:color w:val="auto"/>
          <w:sz w:val="32"/>
          <w:szCs w:val="32"/>
          <w:shd w:val="clear" w:color="auto" w:fill="FFFFFF"/>
        </w:rPr>
        <w:t>。</w:t>
      </w:r>
    </w:p>
    <w:p w14:paraId="1644E7EE">
      <w:pPr>
        <w:keepNext w:val="0"/>
        <w:keepLines w:val="0"/>
        <w:pageBreakBefore w:val="0"/>
        <w:numPr>
          <w:ilvl w:val="0"/>
          <w:numId w:val="0"/>
        </w:numPr>
        <w:tabs>
          <w:tab w:val="left" w:pos="0"/>
        </w:tabs>
        <w:kinsoku/>
        <w:overflowPunct/>
        <w:topLinePunct w:val="0"/>
        <w:autoSpaceDE/>
        <w:autoSpaceDN/>
        <w:bidi w:val="0"/>
        <w:adjustRightInd/>
        <w:snapToGrid/>
        <w:spacing w:line="580" w:lineRule="exact"/>
        <w:ind w:leftChars="0" w:firstLine="640" w:firstLineChars="200"/>
        <w:jc w:val="left"/>
        <w:textAlignment w:val="auto"/>
        <w:rPr>
          <w:rFonts w:hint="eastAsia" w:ascii="黑体" w:hAnsi="黑体" w:eastAsia="黑体" w:cs="Times New Roman"/>
          <w:color w:val="auto"/>
          <w:kern w:val="0"/>
          <w:sz w:val="32"/>
          <w:szCs w:val="32"/>
          <w:shd w:val="clear" w:color="auto" w:fill="FFFFFF"/>
          <w:lang w:val="en-US" w:eastAsia="zh-CN" w:bidi="ar"/>
        </w:rPr>
      </w:pPr>
      <w:r>
        <w:rPr>
          <w:rFonts w:hint="eastAsia" w:ascii="黑体" w:hAnsi="黑体" w:eastAsia="黑体" w:cs="Times New Roman"/>
          <w:color w:val="auto"/>
          <w:kern w:val="0"/>
          <w:sz w:val="32"/>
          <w:szCs w:val="32"/>
          <w:shd w:val="clear" w:color="auto" w:fill="FFFFFF"/>
          <w:lang w:val="en-US" w:eastAsia="zh-CN" w:bidi="ar"/>
        </w:rPr>
        <w:t>第十条</w:t>
      </w:r>
      <w:r>
        <w:rPr>
          <w:rFonts w:hint="eastAsia" w:ascii="仿宋" w:hAnsi="仿宋" w:eastAsia="仿宋" w:cs="Times New Roman"/>
          <w:color w:val="auto"/>
          <w:kern w:val="0"/>
          <w:sz w:val="32"/>
          <w:szCs w:val="32"/>
          <w:shd w:val="clear" w:color="auto" w:fill="FFFFFF"/>
          <w:lang w:val="en-US" w:eastAsia="zh-CN" w:bidi="ar"/>
        </w:rPr>
        <w:t xml:space="preserve"> </w:t>
      </w:r>
      <w:r>
        <w:rPr>
          <w:rFonts w:hint="eastAsia" w:ascii="仿宋" w:hAnsi="仿宋" w:eastAsia="仿宋" w:cs="仿宋"/>
          <w:color w:val="auto"/>
          <w:sz w:val="32"/>
          <w:szCs w:val="32"/>
          <w:shd w:val="clear" w:color="auto" w:fill="FFFFFF"/>
          <w:lang w:eastAsia="zh-CN"/>
        </w:rPr>
        <w:t>市发展改革委组织相关县（市、区）发展改革部门对奖励资金使用情况进行绩效评价，并向市财政局报送。</w:t>
      </w:r>
    </w:p>
    <w:p w14:paraId="21A7652E">
      <w:pPr>
        <w:keepNext w:val="0"/>
        <w:keepLines w:val="0"/>
        <w:pageBreakBefore w:val="0"/>
        <w:widowControl w:val="0"/>
        <w:numPr>
          <w:ilvl w:val="0"/>
          <w:numId w:val="0"/>
        </w:numPr>
        <w:tabs>
          <w:tab w:val="left" w:pos="0"/>
        </w:tabs>
        <w:kinsoku/>
        <w:wordWrap/>
        <w:overflowPunct/>
        <w:topLinePunct w:val="0"/>
        <w:autoSpaceDE/>
        <w:autoSpaceDN/>
        <w:bidi w:val="0"/>
        <w:adjustRightInd/>
        <w:snapToGrid/>
        <w:spacing w:line="580" w:lineRule="exact"/>
        <w:ind w:left="40" w:leftChars="0" w:firstLine="0" w:firstLineChars="0"/>
        <w:jc w:val="center"/>
        <w:textAlignment w:val="auto"/>
        <w:outlineLvl w:val="9"/>
        <w:rPr>
          <w:rFonts w:hint="eastAsia" w:ascii="黑体" w:hAnsi="黑体" w:eastAsia="黑体" w:cs="Times New Roman"/>
          <w:color w:val="auto"/>
          <w:sz w:val="32"/>
          <w:szCs w:val="32"/>
          <w:lang w:val="en-US" w:eastAsia="zh-CN"/>
        </w:rPr>
      </w:pPr>
      <w:r>
        <w:rPr>
          <w:rFonts w:hint="eastAsia" w:ascii="黑体" w:hAnsi="黑体" w:eastAsia="黑体" w:cs="Times New Roman"/>
          <w:color w:val="auto"/>
          <w:sz w:val="32"/>
          <w:szCs w:val="32"/>
          <w:lang w:val="en-US" w:eastAsia="zh-CN"/>
        </w:rPr>
        <w:t xml:space="preserve">第六章 </w:t>
      </w:r>
      <w:r>
        <w:rPr>
          <w:rFonts w:hint="eastAsia" w:ascii="黑体" w:hAnsi="黑体" w:eastAsia="黑体" w:cs="Times New Roman"/>
          <w:color w:val="auto"/>
          <w:sz w:val="32"/>
          <w:szCs w:val="32"/>
        </w:rPr>
        <w:t>附则</w:t>
      </w:r>
    </w:p>
    <w:p w14:paraId="3AA28B2D">
      <w:pPr>
        <w:keepNext w:val="0"/>
        <w:keepLines w:val="0"/>
        <w:pageBreakBefore w:val="0"/>
        <w:widowControl/>
        <w:kinsoku/>
        <w:wordWrap/>
        <w:overflowPunct/>
        <w:topLinePunct w:val="0"/>
        <w:autoSpaceDE/>
        <w:autoSpaceDN/>
        <w:bidi w:val="0"/>
        <w:adjustRightInd/>
        <w:snapToGrid/>
        <w:spacing w:before="0" w:beforeAutospacing="0" w:after="0" w:afterAutospacing="0" w:line="580" w:lineRule="exact"/>
        <w:ind w:left="0" w:right="0" w:firstLine="640" w:firstLineChars="200"/>
        <w:jc w:val="left"/>
        <w:textAlignment w:val="auto"/>
        <w:rPr>
          <w:rFonts w:hint="eastAsia" w:ascii="黑体" w:hAnsi="黑体" w:eastAsia="黑体" w:cs="Times New Roman"/>
          <w:color w:val="auto"/>
          <w:kern w:val="0"/>
          <w:sz w:val="32"/>
          <w:szCs w:val="32"/>
          <w:shd w:val="clear" w:color="auto" w:fill="FFFFFF"/>
          <w:lang w:val="en-US" w:eastAsia="zh-CN" w:bidi="ar"/>
        </w:rPr>
      </w:pPr>
      <w:r>
        <w:rPr>
          <w:rFonts w:hint="eastAsia" w:ascii="黑体" w:hAnsi="黑体" w:eastAsia="黑体" w:cs="Times New Roman"/>
          <w:color w:val="auto"/>
          <w:kern w:val="0"/>
          <w:sz w:val="32"/>
          <w:szCs w:val="32"/>
          <w:shd w:val="clear" w:color="auto" w:fill="FFFFFF"/>
          <w:lang w:val="en-US" w:eastAsia="zh-CN" w:bidi="ar"/>
        </w:rPr>
        <w:t>第十一条</w:t>
      </w:r>
      <w:r>
        <w:rPr>
          <w:rFonts w:hint="eastAsia" w:ascii="仿宋" w:hAnsi="仿宋" w:eastAsia="仿宋" w:cs="Times New Roman"/>
          <w:color w:val="auto"/>
          <w:kern w:val="0"/>
          <w:sz w:val="32"/>
          <w:szCs w:val="32"/>
          <w:shd w:val="clear" w:color="auto" w:fill="FFFFFF"/>
          <w:lang w:val="en-US" w:eastAsia="zh-CN" w:bidi="ar"/>
        </w:rPr>
        <w:t xml:space="preserve"> 本细则由市发展改革委负责执行，</w:t>
      </w:r>
      <w:r>
        <w:rPr>
          <w:rFonts w:hint="eastAsia" w:ascii="仿宋" w:hAnsi="仿宋" w:eastAsia="仿宋" w:cs="仿宋"/>
          <w:color w:val="auto"/>
          <w:sz w:val="32"/>
          <w:szCs w:val="32"/>
        </w:rPr>
        <w:t>自印发之日起实施</w:t>
      </w:r>
      <w:r>
        <w:rPr>
          <w:rFonts w:hint="eastAsia" w:ascii="仿宋" w:hAnsi="仿宋" w:eastAsia="仿宋" w:cs="Times New Roman"/>
          <w:color w:val="auto"/>
          <w:kern w:val="0"/>
          <w:sz w:val="32"/>
          <w:szCs w:val="32"/>
          <w:shd w:val="clear" w:color="auto" w:fill="FFFFFF"/>
          <w:lang w:val="en-US" w:eastAsia="zh-CN" w:bidi="ar"/>
        </w:rPr>
        <w:t>。</w:t>
      </w:r>
    </w:p>
    <w:p w14:paraId="25818AD9">
      <w:pPr>
        <w:keepNext w:val="0"/>
        <w:keepLines w:val="0"/>
        <w:pageBreakBefore w:val="0"/>
        <w:numPr>
          <w:ilvl w:val="0"/>
          <w:numId w:val="0"/>
        </w:numPr>
        <w:tabs>
          <w:tab w:val="left" w:pos="0"/>
        </w:tabs>
        <w:kinsoku/>
        <w:overflowPunct/>
        <w:topLinePunct w:val="0"/>
        <w:autoSpaceDE/>
        <w:autoSpaceDN/>
        <w:bidi w:val="0"/>
        <w:adjustRightInd/>
        <w:snapToGrid/>
        <w:spacing w:line="580" w:lineRule="exact"/>
        <w:ind w:leftChars="0"/>
        <w:textAlignment w:val="auto"/>
        <w:rPr>
          <w:rFonts w:hint="eastAsia" w:ascii="黑体" w:hAnsi="黑体" w:eastAsia="黑体" w:cs="黑体"/>
          <w:color w:val="auto"/>
          <w:sz w:val="32"/>
          <w:szCs w:val="32"/>
          <w:lang w:eastAsia="zh-CN"/>
        </w:rPr>
      </w:pPr>
    </w:p>
    <w:p w14:paraId="334EC3E4">
      <w:pPr>
        <w:keepNext w:val="0"/>
        <w:keepLines w:val="0"/>
        <w:pageBreakBefore w:val="0"/>
        <w:numPr>
          <w:ilvl w:val="0"/>
          <w:numId w:val="0"/>
        </w:numPr>
        <w:tabs>
          <w:tab w:val="left" w:pos="0"/>
        </w:tabs>
        <w:kinsoku/>
        <w:overflowPunct/>
        <w:topLinePunct w:val="0"/>
        <w:autoSpaceDE/>
        <w:autoSpaceDN/>
        <w:bidi w:val="0"/>
        <w:adjustRightInd/>
        <w:snapToGrid/>
        <w:spacing w:line="580" w:lineRule="exact"/>
        <w:ind w:leftChars="0"/>
        <w:textAlignment w:val="auto"/>
        <w:rPr>
          <w:rFonts w:hint="eastAsia" w:ascii="黑体" w:hAnsi="黑体" w:eastAsia="黑体" w:cs="黑体"/>
          <w:color w:val="auto"/>
          <w:sz w:val="32"/>
          <w:szCs w:val="32"/>
          <w:lang w:eastAsia="zh-CN"/>
        </w:rPr>
      </w:pPr>
    </w:p>
    <w:p w14:paraId="6BC04CE1">
      <w:pPr>
        <w:keepNext w:val="0"/>
        <w:keepLines w:val="0"/>
        <w:pageBreakBefore w:val="0"/>
        <w:numPr>
          <w:ilvl w:val="0"/>
          <w:numId w:val="0"/>
        </w:numPr>
        <w:tabs>
          <w:tab w:val="left" w:pos="0"/>
        </w:tabs>
        <w:kinsoku/>
        <w:overflowPunct/>
        <w:topLinePunct w:val="0"/>
        <w:autoSpaceDE/>
        <w:autoSpaceDN/>
        <w:bidi w:val="0"/>
        <w:adjustRightInd/>
        <w:snapToGrid/>
        <w:spacing w:line="580" w:lineRule="exact"/>
        <w:ind w:leftChars="0"/>
        <w:textAlignment w:val="auto"/>
        <w:rPr>
          <w:rFonts w:hint="eastAsia" w:ascii="黑体" w:hAnsi="黑体" w:eastAsia="黑体" w:cs="黑体"/>
          <w:color w:val="auto"/>
          <w:sz w:val="32"/>
          <w:szCs w:val="32"/>
          <w:lang w:eastAsia="zh-CN"/>
        </w:rPr>
      </w:pPr>
    </w:p>
    <w:p w14:paraId="236B3402">
      <w:pPr>
        <w:keepNext w:val="0"/>
        <w:keepLines w:val="0"/>
        <w:pageBreakBefore w:val="0"/>
        <w:numPr>
          <w:ilvl w:val="0"/>
          <w:numId w:val="0"/>
        </w:numPr>
        <w:tabs>
          <w:tab w:val="left" w:pos="0"/>
        </w:tabs>
        <w:kinsoku/>
        <w:overflowPunct/>
        <w:topLinePunct w:val="0"/>
        <w:autoSpaceDE/>
        <w:autoSpaceDN/>
        <w:bidi w:val="0"/>
        <w:adjustRightInd/>
        <w:snapToGrid/>
        <w:spacing w:line="580" w:lineRule="exact"/>
        <w:ind w:leftChars="0"/>
        <w:textAlignment w:val="auto"/>
        <w:rPr>
          <w:rFonts w:hint="eastAsia" w:ascii="黑体" w:hAnsi="黑体" w:eastAsia="黑体" w:cs="黑体"/>
          <w:color w:val="auto"/>
          <w:sz w:val="32"/>
          <w:szCs w:val="32"/>
          <w:lang w:eastAsia="zh-CN"/>
        </w:rPr>
      </w:pPr>
    </w:p>
    <w:p w14:paraId="576F142C">
      <w:pPr>
        <w:keepNext w:val="0"/>
        <w:keepLines w:val="0"/>
        <w:pageBreakBefore w:val="0"/>
        <w:numPr>
          <w:ilvl w:val="0"/>
          <w:numId w:val="0"/>
        </w:numPr>
        <w:tabs>
          <w:tab w:val="left" w:pos="0"/>
        </w:tabs>
        <w:kinsoku/>
        <w:overflowPunct/>
        <w:topLinePunct w:val="0"/>
        <w:autoSpaceDE/>
        <w:autoSpaceDN/>
        <w:bidi w:val="0"/>
        <w:adjustRightInd/>
        <w:snapToGrid/>
        <w:spacing w:line="580" w:lineRule="exact"/>
        <w:ind w:leftChars="0"/>
        <w:textAlignment w:val="auto"/>
        <w:rPr>
          <w:rFonts w:hint="default"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附件2</w:t>
      </w:r>
    </w:p>
    <w:p w14:paraId="745501F8">
      <w:pPr>
        <w:keepNext w:val="0"/>
        <w:keepLines w:val="0"/>
        <w:pageBreakBefore w:val="0"/>
        <w:kinsoku/>
        <w:overflowPunct/>
        <w:topLinePunct w:val="0"/>
        <w:autoSpaceDE/>
        <w:autoSpaceDN/>
        <w:bidi w:val="0"/>
        <w:adjustRightInd/>
        <w:snapToGrid/>
        <w:spacing w:line="580" w:lineRule="exact"/>
        <w:textAlignment w:val="auto"/>
        <w:rPr>
          <w:rFonts w:ascii="黑体" w:hAnsi="黑体" w:eastAsia="黑体"/>
          <w:color w:val="auto"/>
          <w:sz w:val="32"/>
          <w:szCs w:val="32"/>
        </w:rPr>
      </w:pPr>
    </w:p>
    <w:p w14:paraId="13D08364">
      <w:pPr>
        <w:keepNext w:val="0"/>
        <w:keepLines w:val="0"/>
        <w:pageBreakBefore w:val="0"/>
        <w:kinsoku/>
        <w:overflowPunct/>
        <w:topLinePunct w:val="0"/>
        <w:autoSpaceDE/>
        <w:autoSpaceDN/>
        <w:bidi w:val="0"/>
        <w:adjustRightInd/>
        <w:snapToGrid/>
        <w:spacing w:line="580" w:lineRule="exact"/>
        <w:jc w:val="center"/>
        <w:textAlignment w:val="auto"/>
        <w:outlineLvl w:val="0"/>
        <w:rPr>
          <w:rFonts w:hint="eastAsia" w:ascii="方正小标宋简体" w:hAnsi="方正小标宋简体" w:eastAsia="方正小标宋简体" w:cs="方正小标宋简体"/>
          <w:b w:val="0"/>
          <w:bCs w:val="0"/>
          <w:color w:val="auto"/>
          <w:sz w:val="44"/>
          <w:szCs w:val="44"/>
        </w:rPr>
      </w:pPr>
      <w:bookmarkStart w:id="2" w:name="_Toc17401"/>
      <w:r>
        <w:rPr>
          <w:rFonts w:hint="eastAsia" w:ascii="方正小标宋简体" w:hAnsi="方正小标宋简体" w:eastAsia="方正小标宋简体" w:cs="方正小标宋简体"/>
          <w:b w:val="0"/>
          <w:bCs w:val="0"/>
          <w:color w:val="auto"/>
          <w:sz w:val="44"/>
          <w:szCs w:val="44"/>
        </w:rPr>
        <w:t>支持产业集聚发展奖励实施细则</w:t>
      </w:r>
      <w:bookmarkEnd w:id="2"/>
    </w:p>
    <w:p w14:paraId="3D0E8EDE">
      <w:pPr>
        <w:keepNext w:val="0"/>
        <w:keepLines w:val="0"/>
        <w:pageBreakBefore w:val="0"/>
        <w:kinsoku/>
        <w:overflowPunct/>
        <w:topLinePunct w:val="0"/>
        <w:autoSpaceDE/>
        <w:autoSpaceDN/>
        <w:bidi w:val="0"/>
        <w:adjustRightInd/>
        <w:snapToGrid/>
        <w:spacing w:line="580" w:lineRule="exact"/>
        <w:jc w:val="center"/>
        <w:textAlignment w:val="auto"/>
        <w:rPr>
          <w:rFonts w:ascii="Calibri" w:hAnsi="Calibri" w:eastAsia="宋体" w:cs="Times New Roman"/>
          <w:color w:val="auto"/>
          <w:sz w:val="32"/>
          <w:szCs w:val="32"/>
        </w:rPr>
      </w:pPr>
      <w:r>
        <w:rPr>
          <w:rFonts w:hint="eastAsia" w:ascii="方正仿宋_GBK" w:hAnsi="方正仿宋_GBK" w:eastAsia="方正仿宋_GBK" w:cs="方正仿宋_GBK"/>
          <w:sz w:val="32"/>
          <w:szCs w:val="32"/>
          <w:lang w:eastAsia="zh-CN"/>
        </w:rPr>
        <w:t>（征求意见稿）</w:t>
      </w:r>
    </w:p>
    <w:p w14:paraId="77DB21F7">
      <w:pPr>
        <w:keepNext w:val="0"/>
        <w:keepLines w:val="0"/>
        <w:pageBreakBefore w:val="0"/>
        <w:numPr>
          <w:ilvl w:val="0"/>
          <w:numId w:val="1"/>
        </w:numPr>
        <w:kinsoku/>
        <w:overflowPunct/>
        <w:topLinePunct w:val="0"/>
        <w:autoSpaceDE/>
        <w:autoSpaceDN/>
        <w:bidi w:val="0"/>
        <w:adjustRightInd/>
        <w:snapToGrid/>
        <w:spacing w:line="580" w:lineRule="exact"/>
        <w:jc w:val="center"/>
        <w:textAlignment w:val="auto"/>
        <w:rPr>
          <w:rFonts w:ascii="黑体" w:hAnsi="黑体" w:eastAsia="黑体" w:cs="黑体"/>
          <w:color w:val="auto"/>
          <w:sz w:val="32"/>
          <w:szCs w:val="32"/>
        </w:rPr>
      </w:pPr>
      <w:r>
        <w:rPr>
          <w:rFonts w:hint="eastAsia" w:ascii="黑体" w:hAnsi="黑体" w:eastAsia="黑体" w:cs="黑体"/>
          <w:color w:val="auto"/>
          <w:sz w:val="32"/>
          <w:szCs w:val="32"/>
        </w:rPr>
        <w:t>总则</w:t>
      </w:r>
    </w:p>
    <w:p w14:paraId="275035E5">
      <w:pPr>
        <w:keepNext w:val="0"/>
        <w:keepLines w:val="0"/>
        <w:pageBreakBefore w:val="0"/>
        <w:numPr>
          <w:ilvl w:val="0"/>
          <w:numId w:val="2"/>
        </w:numPr>
        <w:kinsoku/>
        <w:overflowPunct/>
        <w:topLinePunct w:val="0"/>
        <w:autoSpaceDE/>
        <w:autoSpaceDN/>
        <w:bidi w:val="0"/>
        <w:adjustRightInd/>
        <w:snapToGrid/>
        <w:spacing w:line="580" w:lineRule="exact"/>
        <w:ind w:firstLine="640" w:firstLineChars="200"/>
        <w:jc w:val="left"/>
        <w:textAlignment w:val="auto"/>
        <w:rPr>
          <w:rFonts w:ascii="仿宋" w:hAnsi="仿宋" w:eastAsia="仿宋" w:cs="仿宋"/>
          <w:color w:val="auto"/>
          <w:sz w:val="32"/>
          <w:szCs w:val="32"/>
        </w:rPr>
      </w:pPr>
      <w:r>
        <w:rPr>
          <w:rFonts w:hint="eastAsia" w:ascii="仿宋" w:hAnsi="仿宋" w:eastAsia="仿宋" w:cs="仿宋"/>
          <w:color w:val="auto"/>
          <w:sz w:val="32"/>
          <w:szCs w:val="32"/>
        </w:rPr>
        <w:t>根据《关于支持新一代电子信息产业和生物医药产业率先突破的若干措施》有关规定，制定本细则。</w:t>
      </w:r>
    </w:p>
    <w:p w14:paraId="24C486D8">
      <w:pPr>
        <w:keepNext w:val="0"/>
        <w:keepLines w:val="0"/>
        <w:pageBreakBefore w:val="0"/>
        <w:numPr>
          <w:ilvl w:val="0"/>
          <w:numId w:val="2"/>
        </w:numPr>
        <w:kinsoku/>
        <w:overflowPunct/>
        <w:topLinePunct w:val="0"/>
        <w:autoSpaceDE/>
        <w:autoSpaceDN/>
        <w:bidi w:val="0"/>
        <w:adjustRightInd/>
        <w:snapToGrid/>
        <w:spacing w:line="580" w:lineRule="exact"/>
        <w:ind w:firstLine="640" w:firstLineChars="200"/>
        <w:jc w:val="left"/>
        <w:textAlignment w:val="auto"/>
        <w:rPr>
          <w:rFonts w:ascii="仿宋" w:hAnsi="仿宋" w:eastAsia="仿宋" w:cs="仿宋"/>
          <w:color w:val="auto"/>
          <w:sz w:val="32"/>
          <w:szCs w:val="32"/>
        </w:rPr>
      </w:pPr>
      <w:r>
        <w:rPr>
          <w:rFonts w:hint="eastAsia" w:ascii="仿宋" w:hAnsi="仿宋" w:eastAsia="仿宋" w:cs="仿宋"/>
          <w:color w:val="auto"/>
          <w:sz w:val="32"/>
          <w:szCs w:val="32"/>
        </w:rPr>
        <w:t>本细则采取事后奖励方式，所需资金从市主导产业专项资金中列支。</w:t>
      </w:r>
    </w:p>
    <w:p w14:paraId="27C73F5A">
      <w:pPr>
        <w:keepNext w:val="0"/>
        <w:keepLines w:val="0"/>
        <w:pageBreakBefore w:val="0"/>
        <w:numPr>
          <w:ilvl w:val="0"/>
          <w:numId w:val="1"/>
        </w:numPr>
        <w:kinsoku/>
        <w:overflowPunct/>
        <w:topLinePunct w:val="0"/>
        <w:autoSpaceDE/>
        <w:autoSpaceDN/>
        <w:bidi w:val="0"/>
        <w:adjustRightInd/>
        <w:snapToGrid/>
        <w:spacing w:line="580" w:lineRule="exact"/>
        <w:jc w:val="center"/>
        <w:textAlignment w:val="auto"/>
        <w:rPr>
          <w:rFonts w:ascii="黑体" w:hAnsi="黑体" w:eastAsia="黑体" w:cs="黑体"/>
          <w:color w:val="auto"/>
          <w:sz w:val="32"/>
          <w:szCs w:val="32"/>
        </w:rPr>
      </w:pPr>
      <w:r>
        <w:rPr>
          <w:rFonts w:hint="eastAsia" w:ascii="黑体" w:hAnsi="黑体" w:eastAsia="黑体" w:cs="黑体"/>
          <w:color w:val="auto"/>
          <w:sz w:val="32"/>
          <w:szCs w:val="32"/>
        </w:rPr>
        <w:t>支持和奖励认定范围</w:t>
      </w:r>
    </w:p>
    <w:p w14:paraId="67EC9704">
      <w:pPr>
        <w:keepNext w:val="0"/>
        <w:keepLines w:val="0"/>
        <w:pageBreakBefore w:val="0"/>
        <w:numPr>
          <w:ilvl w:val="0"/>
          <w:numId w:val="2"/>
        </w:numPr>
        <w:kinsoku/>
        <w:overflowPunct/>
        <w:topLinePunct w:val="0"/>
        <w:autoSpaceDE/>
        <w:autoSpaceDN/>
        <w:bidi w:val="0"/>
        <w:adjustRightInd/>
        <w:snapToGrid/>
        <w:spacing w:line="580" w:lineRule="exact"/>
        <w:ind w:firstLine="640" w:firstLineChars="200"/>
        <w:jc w:val="left"/>
        <w:textAlignment w:val="auto"/>
        <w:rPr>
          <w:rFonts w:ascii="仿宋" w:hAnsi="仿宋" w:eastAsia="仿宋" w:cs="仿宋"/>
          <w:color w:val="auto"/>
          <w:sz w:val="32"/>
          <w:szCs w:val="32"/>
        </w:rPr>
      </w:pPr>
      <w:r>
        <w:rPr>
          <w:rFonts w:hint="eastAsia" w:ascii="仿宋" w:hAnsi="仿宋" w:eastAsia="仿宋" w:cs="仿宋"/>
          <w:color w:val="auto"/>
          <w:sz w:val="32"/>
          <w:szCs w:val="32"/>
        </w:rPr>
        <w:t>集群建设单位须为县（市、区）人民政府或省级以上园区管委会。</w:t>
      </w:r>
    </w:p>
    <w:p w14:paraId="4499A633">
      <w:pPr>
        <w:keepNext w:val="0"/>
        <w:keepLines w:val="0"/>
        <w:pageBreakBefore w:val="0"/>
        <w:numPr>
          <w:ilvl w:val="0"/>
          <w:numId w:val="2"/>
        </w:numPr>
        <w:kinsoku/>
        <w:overflowPunct/>
        <w:topLinePunct w:val="0"/>
        <w:autoSpaceDE/>
        <w:autoSpaceDN/>
        <w:bidi w:val="0"/>
        <w:adjustRightInd/>
        <w:snapToGrid/>
        <w:spacing w:line="580" w:lineRule="exact"/>
        <w:ind w:firstLine="640" w:firstLineChars="200"/>
        <w:jc w:val="left"/>
        <w:textAlignment w:val="auto"/>
        <w:rPr>
          <w:rFonts w:ascii="仿宋" w:hAnsi="仿宋" w:eastAsia="仿宋" w:cs="仿宋"/>
          <w:color w:val="auto"/>
          <w:sz w:val="32"/>
          <w:szCs w:val="32"/>
        </w:rPr>
      </w:pPr>
      <w:r>
        <w:rPr>
          <w:rFonts w:hint="eastAsia" w:ascii="仿宋" w:hAnsi="仿宋" w:eastAsia="仿宋" w:cs="仿宋"/>
          <w:color w:val="auto"/>
          <w:sz w:val="32"/>
          <w:szCs w:val="32"/>
        </w:rPr>
        <w:t>在新一代电子信息</w:t>
      </w:r>
      <w:r>
        <w:rPr>
          <w:rFonts w:hint="eastAsia" w:ascii="仿宋" w:hAnsi="仿宋" w:eastAsia="仿宋" w:cs="仿宋"/>
          <w:color w:val="auto"/>
          <w:sz w:val="32"/>
          <w:szCs w:val="32"/>
          <w:lang w:eastAsia="zh-CN"/>
        </w:rPr>
        <w:t>产业、</w:t>
      </w:r>
      <w:r>
        <w:rPr>
          <w:rFonts w:hint="eastAsia" w:ascii="仿宋" w:hAnsi="仿宋" w:eastAsia="仿宋" w:cs="仿宋"/>
          <w:color w:val="auto"/>
          <w:sz w:val="32"/>
          <w:szCs w:val="32"/>
        </w:rPr>
        <w:t>生物医药产业相关领域，获得省级以上发展改革、工业和信息化主管部门认定或开展建设的产业集群。</w:t>
      </w:r>
    </w:p>
    <w:p w14:paraId="24EA84AD">
      <w:pPr>
        <w:keepNext w:val="0"/>
        <w:keepLines w:val="0"/>
        <w:pageBreakBefore w:val="0"/>
        <w:numPr>
          <w:ilvl w:val="0"/>
          <w:numId w:val="1"/>
        </w:numPr>
        <w:kinsoku/>
        <w:overflowPunct/>
        <w:topLinePunct w:val="0"/>
        <w:autoSpaceDE/>
        <w:autoSpaceDN/>
        <w:bidi w:val="0"/>
        <w:adjustRightInd/>
        <w:snapToGrid/>
        <w:spacing w:line="580" w:lineRule="exact"/>
        <w:jc w:val="center"/>
        <w:textAlignment w:val="auto"/>
        <w:rPr>
          <w:rFonts w:ascii="黑体" w:hAnsi="黑体" w:eastAsia="黑体" w:cs="黑体"/>
          <w:color w:val="auto"/>
          <w:sz w:val="32"/>
          <w:szCs w:val="32"/>
        </w:rPr>
      </w:pPr>
      <w:r>
        <w:rPr>
          <w:rFonts w:hint="eastAsia" w:ascii="黑体" w:hAnsi="黑体" w:eastAsia="黑体" w:cs="黑体"/>
          <w:color w:val="auto"/>
          <w:sz w:val="32"/>
          <w:szCs w:val="32"/>
        </w:rPr>
        <w:t>奖励标准</w:t>
      </w:r>
    </w:p>
    <w:p w14:paraId="16D3BC43">
      <w:pPr>
        <w:keepNext w:val="0"/>
        <w:keepLines w:val="0"/>
        <w:pageBreakBefore w:val="0"/>
        <w:numPr>
          <w:ilvl w:val="0"/>
          <w:numId w:val="2"/>
        </w:numPr>
        <w:kinsoku/>
        <w:overflowPunct/>
        <w:topLinePunct w:val="0"/>
        <w:autoSpaceDE/>
        <w:autoSpaceDN/>
        <w:bidi w:val="0"/>
        <w:adjustRightInd/>
        <w:snapToGrid/>
        <w:spacing w:line="580" w:lineRule="exact"/>
        <w:ind w:firstLine="640" w:firstLineChars="200"/>
        <w:jc w:val="left"/>
        <w:textAlignment w:val="auto"/>
        <w:rPr>
          <w:rFonts w:ascii="仿宋" w:hAnsi="仿宋" w:eastAsia="仿宋" w:cs="仿宋"/>
          <w:color w:val="auto"/>
          <w:sz w:val="32"/>
          <w:szCs w:val="32"/>
        </w:rPr>
      </w:pPr>
      <w:r>
        <w:rPr>
          <w:rFonts w:hint="eastAsia" w:ascii="仿宋" w:hAnsi="仿宋" w:eastAsia="仿宋" w:cs="仿宋"/>
          <w:color w:val="auto"/>
          <w:sz w:val="32"/>
          <w:szCs w:val="32"/>
        </w:rPr>
        <w:t>对新</w:t>
      </w:r>
      <w:r>
        <w:rPr>
          <w:rFonts w:hint="eastAsia" w:ascii="仿宋" w:hAnsi="仿宋" w:eastAsia="仿宋" w:cs="仿宋"/>
          <w:color w:val="auto"/>
          <w:sz w:val="32"/>
          <w:szCs w:val="32"/>
          <w:lang w:eastAsia="zh-CN"/>
        </w:rPr>
        <w:t>认定或</w:t>
      </w:r>
      <w:r>
        <w:rPr>
          <w:rFonts w:hint="eastAsia" w:ascii="仿宋" w:hAnsi="仿宋" w:eastAsia="仿宋" w:cs="仿宋"/>
          <w:color w:val="auto"/>
          <w:sz w:val="32"/>
          <w:szCs w:val="32"/>
        </w:rPr>
        <w:t>纳入国家级产业集群建设的单位，给予最高50万元奖励。</w:t>
      </w:r>
    </w:p>
    <w:p w14:paraId="6A82FE37">
      <w:pPr>
        <w:keepNext w:val="0"/>
        <w:keepLines w:val="0"/>
        <w:pageBreakBefore w:val="0"/>
        <w:numPr>
          <w:ilvl w:val="0"/>
          <w:numId w:val="2"/>
        </w:numPr>
        <w:kinsoku/>
        <w:overflowPunct/>
        <w:topLinePunct w:val="0"/>
        <w:autoSpaceDE/>
        <w:autoSpaceDN/>
        <w:bidi w:val="0"/>
        <w:adjustRightInd/>
        <w:snapToGrid/>
        <w:spacing w:line="580" w:lineRule="exact"/>
        <w:ind w:firstLine="640" w:firstLineChars="200"/>
        <w:jc w:val="left"/>
        <w:textAlignment w:val="auto"/>
        <w:rPr>
          <w:rFonts w:ascii="仿宋" w:hAnsi="仿宋" w:eastAsia="仿宋" w:cs="仿宋"/>
          <w:color w:val="auto"/>
          <w:sz w:val="32"/>
          <w:szCs w:val="32"/>
        </w:rPr>
      </w:pPr>
      <w:r>
        <w:rPr>
          <w:rFonts w:hint="eastAsia" w:ascii="仿宋" w:hAnsi="仿宋" w:eastAsia="仿宋" w:cs="仿宋"/>
          <w:color w:val="auto"/>
          <w:sz w:val="32"/>
          <w:szCs w:val="32"/>
        </w:rPr>
        <w:t>对新</w:t>
      </w:r>
      <w:r>
        <w:rPr>
          <w:rFonts w:hint="eastAsia" w:ascii="仿宋" w:hAnsi="仿宋" w:eastAsia="仿宋" w:cs="仿宋"/>
          <w:color w:val="auto"/>
          <w:sz w:val="32"/>
          <w:szCs w:val="32"/>
          <w:lang w:eastAsia="zh-CN"/>
        </w:rPr>
        <w:t>认定或</w:t>
      </w:r>
      <w:r>
        <w:rPr>
          <w:rFonts w:hint="eastAsia" w:ascii="仿宋" w:hAnsi="仿宋" w:eastAsia="仿宋" w:cs="仿宋"/>
          <w:color w:val="auto"/>
          <w:sz w:val="32"/>
          <w:szCs w:val="32"/>
        </w:rPr>
        <w:t>纳入省级产业集群建设的单位，给予最高30万元奖励。</w:t>
      </w:r>
    </w:p>
    <w:p w14:paraId="439E8689">
      <w:pPr>
        <w:keepNext w:val="0"/>
        <w:keepLines w:val="0"/>
        <w:pageBreakBefore w:val="0"/>
        <w:numPr>
          <w:ilvl w:val="0"/>
          <w:numId w:val="1"/>
        </w:numPr>
        <w:kinsoku/>
        <w:overflowPunct/>
        <w:topLinePunct w:val="0"/>
        <w:autoSpaceDE/>
        <w:autoSpaceDN/>
        <w:bidi w:val="0"/>
        <w:adjustRightInd/>
        <w:snapToGrid/>
        <w:spacing w:line="580" w:lineRule="exact"/>
        <w:jc w:val="center"/>
        <w:textAlignment w:val="auto"/>
        <w:rPr>
          <w:rFonts w:ascii="黑体" w:hAnsi="黑体" w:eastAsia="黑体" w:cs="黑体"/>
          <w:color w:val="auto"/>
          <w:sz w:val="32"/>
          <w:szCs w:val="32"/>
        </w:rPr>
      </w:pPr>
      <w:r>
        <w:rPr>
          <w:rFonts w:hint="eastAsia" w:ascii="黑体" w:hAnsi="黑体" w:eastAsia="黑体" w:cs="黑体"/>
          <w:color w:val="auto"/>
          <w:sz w:val="32"/>
          <w:szCs w:val="32"/>
        </w:rPr>
        <w:t>申报程序</w:t>
      </w:r>
      <w:r>
        <w:rPr>
          <w:rFonts w:hint="eastAsia" w:ascii="黑体" w:hAnsi="黑体" w:eastAsia="黑体" w:cs="黑体"/>
          <w:color w:val="auto"/>
          <w:sz w:val="32"/>
          <w:szCs w:val="32"/>
          <w:lang w:eastAsia="zh-CN"/>
        </w:rPr>
        <w:t>与认定</w:t>
      </w:r>
    </w:p>
    <w:p w14:paraId="2AC86E5A">
      <w:pPr>
        <w:keepNext w:val="0"/>
        <w:keepLines w:val="0"/>
        <w:pageBreakBefore w:val="0"/>
        <w:numPr>
          <w:ilvl w:val="0"/>
          <w:numId w:val="2"/>
        </w:numPr>
        <w:kinsoku/>
        <w:overflowPunct/>
        <w:topLinePunct w:val="0"/>
        <w:autoSpaceDE/>
        <w:autoSpaceDN/>
        <w:bidi w:val="0"/>
        <w:adjustRightInd/>
        <w:snapToGrid/>
        <w:spacing w:line="580" w:lineRule="exact"/>
        <w:ind w:firstLine="640" w:firstLineChars="200"/>
        <w:jc w:val="left"/>
        <w:textAlignment w:val="auto"/>
        <w:rPr>
          <w:rFonts w:ascii="仿宋" w:hAnsi="仿宋" w:eastAsia="仿宋" w:cs="仿宋"/>
          <w:color w:val="auto"/>
          <w:sz w:val="32"/>
          <w:szCs w:val="32"/>
        </w:rPr>
      </w:pPr>
      <w:r>
        <w:rPr>
          <w:rFonts w:hint="eastAsia" w:ascii="仿宋" w:hAnsi="仿宋" w:eastAsia="仿宋" w:cs="仿宋"/>
          <w:color w:val="auto"/>
          <w:sz w:val="32"/>
          <w:szCs w:val="32"/>
        </w:rPr>
        <w:t>由市发展改革委按年度组织实施，申报单位所在县（市、区）发展改革部门组织申报。</w:t>
      </w:r>
    </w:p>
    <w:p w14:paraId="5BF1F5C1">
      <w:pPr>
        <w:keepNext w:val="0"/>
        <w:keepLines w:val="0"/>
        <w:pageBreakBefore w:val="0"/>
        <w:numPr>
          <w:ilvl w:val="0"/>
          <w:numId w:val="2"/>
        </w:numPr>
        <w:kinsoku/>
        <w:overflowPunct/>
        <w:topLinePunct w:val="0"/>
        <w:autoSpaceDE/>
        <w:autoSpaceDN/>
        <w:bidi w:val="0"/>
        <w:adjustRightInd/>
        <w:snapToGrid/>
        <w:spacing w:line="580" w:lineRule="exact"/>
        <w:ind w:firstLine="640" w:firstLineChars="200"/>
        <w:jc w:val="left"/>
        <w:textAlignment w:val="auto"/>
        <w:rPr>
          <w:rFonts w:ascii="仿宋" w:hAnsi="仿宋" w:eastAsia="仿宋" w:cs="仿宋"/>
          <w:color w:val="auto"/>
          <w:sz w:val="32"/>
          <w:szCs w:val="32"/>
        </w:rPr>
      </w:pPr>
      <w:r>
        <w:rPr>
          <w:rFonts w:hint="eastAsia" w:ascii="仿宋" w:hAnsi="仿宋" w:eastAsia="仿宋" w:cs="仿宋"/>
          <w:color w:val="auto"/>
          <w:sz w:val="32"/>
          <w:szCs w:val="32"/>
        </w:rPr>
        <w:t>申报单位需提供规定时限内的</w:t>
      </w:r>
      <w:r>
        <w:rPr>
          <w:rFonts w:hint="eastAsia" w:ascii="仿宋" w:hAnsi="仿宋" w:eastAsia="仿宋" w:cs="仿宋"/>
          <w:color w:val="auto"/>
          <w:sz w:val="32"/>
          <w:szCs w:val="32"/>
          <w:lang w:eastAsia="zh-CN"/>
        </w:rPr>
        <w:t>相关证明材料</w:t>
      </w:r>
      <w:r>
        <w:rPr>
          <w:rFonts w:hint="eastAsia" w:ascii="仿宋" w:hAnsi="仿宋" w:eastAsia="仿宋" w:cs="仿宋"/>
          <w:color w:val="auto"/>
          <w:sz w:val="32"/>
          <w:szCs w:val="32"/>
        </w:rPr>
        <w:t>。</w:t>
      </w:r>
    </w:p>
    <w:p w14:paraId="2D764567">
      <w:pPr>
        <w:keepNext w:val="0"/>
        <w:keepLines w:val="0"/>
        <w:pageBreakBefore w:val="0"/>
        <w:numPr>
          <w:ilvl w:val="0"/>
          <w:numId w:val="2"/>
        </w:numPr>
        <w:kinsoku/>
        <w:overflowPunct/>
        <w:topLinePunct w:val="0"/>
        <w:autoSpaceDE/>
        <w:autoSpaceDN/>
        <w:bidi w:val="0"/>
        <w:adjustRightInd/>
        <w:snapToGrid/>
        <w:spacing w:line="580" w:lineRule="exact"/>
        <w:ind w:firstLine="640" w:firstLineChars="200"/>
        <w:jc w:val="left"/>
        <w:textAlignment w:val="auto"/>
        <w:rPr>
          <w:rFonts w:ascii="黑体" w:hAnsi="黑体" w:eastAsia="黑体" w:cs="黑体"/>
          <w:color w:val="auto"/>
          <w:sz w:val="32"/>
          <w:szCs w:val="32"/>
        </w:rPr>
      </w:pPr>
      <w:r>
        <w:rPr>
          <w:rFonts w:hint="eastAsia" w:ascii="仿宋" w:hAnsi="仿宋" w:eastAsia="仿宋" w:cs="仿宋"/>
          <w:color w:val="auto"/>
          <w:sz w:val="32"/>
          <w:szCs w:val="32"/>
        </w:rPr>
        <w:t>市发展改革委对申报材料进行核实，提出奖励意见，在本部门网站公示5天。</w:t>
      </w:r>
    </w:p>
    <w:p w14:paraId="23B9FB68">
      <w:pPr>
        <w:keepNext w:val="0"/>
        <w:keepLines w:val="0"/>
        <w:pageBreakBefore w:val="0"/>
        <w:numPr>
          <w:ilvl w:val="0"/>
          <w:numId w:val="1"/>
        </w:numPr>
        <w:kinsoku/>
        <w:overflowPunct/>
        <w:topLinePunct w:val="0"/>
        <w:autoSpaceDE/>
        <w:autoSpaceDN/>
        <w:bidi w:val="0"/>
        <w:adjustRightInd/>
        <w:snapToGrid/>
        <w:spacing w:line="580" w:lineRule="exact"/>
        <w:jc w:val="center"/>
        <w:textAlignment w:val="auto"/>
        <w:rPr>
          <w:rFonts w:ascii="黑体" w:hAnsi="黑体" w:eastAsia="黑体" w:cs="黑体"/>
          <w:color w:val="auto"/>
          <w:sz w:val="32"/>
          <w:szCs w:val="32"/>
        </w:rPr>
      </w:pPr>
      <w:r>
        <w:rPr>
          <w:rFonts w:hint="eastAsia" w:ascii="黑体" w:hAnsi="黑体" w:eastAsia="黑体" w:cs="黑体"/>
          <w:color w:val="auto"/>
          <w:sz w:val="32"/>
          <w:szCs w:val="32"/>
        </w:rPr>
        <w:t>资金拨付与绩效评价</w:t>
      </w:r>
    </w:p>
    <w:p w14:paraId="414DEC4B">
      <w:pPr>
        <w:keepNext w:val="0"/>
        <w:keepLines w:val="0"/>
        <w:pageBreakBefore w:val="0"/>
        <w:numPr>
          <w:ilvl w:val="0"/>
          <w:numId w:val="2"/>
        </w:numPr>
        <w:kinsoku/>
        <w:overflowPunct/>
        <w:topLinePunct w:val="0"/>
        <w:autoSpaceDE/>
        <w:autoSpaceDN/>
        <w:bidi w:val="0"/>
        <w:adjustRightInd/>
        <w:snapToGrid/>
        <w:spacing w:line="580" w:lineRule="exact"/>
        <w:ind w:firstLine="640" w:firstLineChars="200"/>
        <w:jc w:val="left"/>
        <w:textAlignment w:val="auto"/>
        <w:rPr>
          <w:rFonts w:ascii="仿宋" w:hAnsi="仿宋" w:eastAsia="仿宋" w:cs="仿宋"/>
          <w:color w:val="auto"/>
          <w:sz w:val="32"/>
          <w:szCs w:val="32"/>
        </w:rPr>
      </w:pPr>
      <w:r>
        <w:rPr>
          <w:rFonts w:hint="eastAsia" w:ascii="仿宋" w:hAnsi="仿宋" w:eastAsia="仿宋" w:cs="仿宋"/>
          <w:color w:val="auto"/>
          <w:sz w:val="32"/>
          <w:szCs w:val="32"/>
        </w:rPr>
        <w:t>公示无异议的，市发展改革委将奖励资金安排意见报市政府批准后，由市财政局按程序拨付奖励资金。</w:t>
      </w:r>
    </w:p>
    <w:p w14:paraId="10E52359">
      <w:pPr>
        <w:keepNext w:val="0"/>
        <w:keepLines w:val="0"/>
        <w:pageBreakBefore w:val="0"/>
        <w:widowControl/>
        <w:numPr>
          <w:ilvl w:val="0"/>
          <w:numId w:val="2"/>
        </w:numPr>
        <w:kinsoku/>
        <w:overflowPunct/>
        <w:topLinePunct w:val="0"/>
        <w:autoSpaceDE/>
        <w:autoSpaceDN/>
        <w:bidi w:val="0"/>
        <w:adjustRightInd/>
        <w:snapToGrid/>
        <w:spacing w:line="580" w:lineRule="exact"/>
        <w:ind w:firstLine="640" w:firstLineChars="200"/>
        <w:jc w:val="left"/>
        <w:textAlignment w:val="auto"/>
        <w:rPr>
          <w:rFonts w:ascii="仿宋" w:hAnsi="仿宋" w:eastAsia="仿宋" w:cs="仿宋"/>
          <w:color w:val="auto"/>
          <w:sz w:val="32"/>
          <w:szCs w:val="32"/>
        </w:rPr>
      </w:pPr>
      <w:r>
        <w:rPr>
          <w:rFonts w:hint="eastAsia" w:ascii="仿宋" w:hAnsi="仿宋" w:eastAsia="仿宋" w:cs="仿宋"/>
          <w:color w:val="auto"/>
          <w:sz w:val="32"/>
          <w:szCs w:val="32"/>
        </w:rPr>
        <w:t>按属地管理原则，专项资金绩效目标与预算同步设定、同步审核、同步下达，加强对专项资金绩效目标实现程度和预算执行进度的“双监控”。市发展改革委对奖补资金情况进行绩效自评，并向市财政部门报送绩效自评。市财政部门适时对专项资金实施重点绩效评价，评价结果将作为预算安排的重要依据。</w:t>
      </w:r>
    </w:p>
    <w:p w14:paraId="2D5D3A8D">
      <w:pPr>
        <w:keepNext w:val="0"/>
        <w:keepLines w:val="0"/>
        <w:pageBreakBefore w:val="0"/>
        <w:numPr>
          <w:ilvl w:val="0"/>
          <w:numId w:val="2"/>
        </w:numPr>
        <w:kinsoku/>
        <w:overflowPunct/>
        <w:topLinePunct w:val="0"/>
        <w:autoSpaceDE/>
        <w:autoSpaceDN/>
        <w:bidi w:val="0"/>
        <w:adjustRightInd/>
        <w:snapToGrid/>
        <w:spacing w:line="580" w:lineRule="exact"/>
        <w:ind w:firstLine="640" w:firstLineChars="200"/>
        <w:jc w:val="left"/>
        <w:textAlignment w:val="auto"/>
        <w:rPr>
          <w:rFonts w:ascii="仿宋" w:hAnsi="仿宋" w:eastAsia="仿宋" w:cs="仿宋"/>
          <w:color w:val="auto"/>
          <w:sz w:val="32"/>
          <w:szCs w:val="32"/>
        </w:rPr>
      </w:pPr>
      <w:r>
        <w:rPr>
          <w:rFonts w:hint="eastAsia" w:ascii="仿宋" w:hAnsi="仿宋" w:eastAsia="仿宋" w:cs="仿宋"/>
          <w:color w:val="auto"/>
          <w:sz w:val="32"/>
          <w:szCs w:val="32"/>
        </w:rPr>
        <w:t>对在申报过程中存在弄虚作假行为的，一经查实将取消申报单位资格，收回奖励资金，3年内取消申报资格</w:t>
      </w:r>
      <w:r>
        <w:rPr>
          <w:rFonts w:hint="eastAsia" w:ascii="仿宋" w:hAnsi="仿宋" w:eastAsia="仿宋" w:cs="仿宋"/>
          <w:color w:val="auto"/>
          <w:sz w:val="32"/>
          <w:szCs w:val="32"/>
          <w:lang w:eastAsia="zh-CN"/>
        </w:rPr>
        <w:t>，并依法依规进行处罚</w:t>
      </w:r>
      <w:r>
        <w:rPr>
          <w:rFonts w:hint="eastAsia" w:ascii="仿宋" w:hAnsi="仿宋" w:eastAsia="仿宋" w:cs="仿宋"/>
          <w:color w:val="auto"/>
          <w:sz w:val="32"/>
          <w:szCs w:val="32"/>
        </w:rPr>
        <w:t>。</w:t>
      </w:r>
    </w:p>
    <w:p w14:paraId="46BC97F8">
      <w:pPr>
        <w:keepNext w:val="0"/>
        <w:keepLines w:val="0"/>
        <w:pageBreakBefore w:val="0"/>
        <w:numPr>
          <w:ilvl w:val="0"/>
          <w:numId w:val="1"/>
        </w:numPr>
        <w:kinsoku/>
        <w:overflowPunct/>
        <w:topLinePunct w:val="0"/>
        <w:autoSpaceDE/>
        <w:autoSpaceDN/>
        <w:bidi w:val="0"/>
        <w:adjustRightInd/>
        <w:snapToGrid/>
        <w:spacing w:line="580" w:lineRule="exact"/>
        <w:jc w:val="center"/>
        <w:textAlignment w:val="auto"/>
        <w:rPr>
          <w:rFonts w:ascii="黑体" w:hAnsi="黑体" w:eastAsia="黑体" w:cs="黑体"/>
          <w:color w:val="auto"/>
          <w:sz w:val="32"/>
          <w:szCs w:val="32"/>
        </w:rPr>
      </w:pPr>
      <w:r>
        <w:rPr>
          <w:rFonts w:hint="eastAsia" w:ascii="黑体" w:hAnsi="黑体" w:eastAsia="黑体" w:cs="黑体"/>
          <w:color w:val="auto"/>
          <w:sz w:val="32"/>
          <w:szCs w:val="32"/>
        </w:rPr>
        <w:t>附则</w:t>
      </w:r>
    </w:p>
    <w:p w14:paraId="0C3E6538">
      <w:pPr>
        <w:keepNext w:val="0"/>
        <w:keepLines w:val="0"/>
        <w:pageBreakBefore w:val="0"/>
        <w:numPr>
          <w:ilvl w:val="0"/>
          <w:numId w:val="2"/>
        </w:numPr>
        <w:kinsoku/>
        <w:overflowPunct/>
        <w:topLinePunct w:val="0"/>
        <w:autoSpaceDE/>
        <w:autoSpaceDN/>
        <w:bidi w:val="0"/>
        <w:adjustRightInd/>
        <w:snapToGrid/>
        <w:spacing w:line="580" w:lineRule="exact"/>
        <w:ind w:firstLine="640" w:firstLineChars="200"/>
        <w:jc w:val="left"/>
        <w:textAlignment w:val="auto"/>
        <w:rPr>
          <w:rFonts w:ascii="仿宋" w:hAnsi="仿宋" w:eastAsia="仿宋" w:cs="仿宋"/>
          <w:color w:val="auto"/>
          <w:sz w:val="32"/>
          <w:szCs w:val="32"/>
        </w:rPr>
      </w:pPr>
      <w:r>
        <w:rPr>
          <w:rFonts w:hint="eastAsia" w:ascii="仿宋" w:hAnsi="仿宋" w:eastAsia="仿宋" w:cs="仿宋"/>
          <w:color w:val="auto"/>
          <w:sz w:val="32"/>
          <w:szCs w:val="32"/>
        </w:rPr>
        <w:t>本细则由市发展改革委负责执行，自印发之日起实施。</w:t>
      </w:r>
    </w:p>
    <w:p w14:paraId="788384D8">
      <w:pPr>
        <w:keepNext w:val="0"/>
        <w:keepLines w:val="0"/>
        <w:pageBreakBefore w:val="0"/>
        <w:kinsoku/>
        <w:overflowPunct/>
        <w:topLinePunct w:val="0"/>
        <w:autoSpaceDE/>
        <w:autoSpaceDN/>
        <w:bidi w:val="0"/>
        <w:adjustRightInd/>
        <w:snapToGrid/>
        <w:spacing w:line="580" w:lineRule="exact"/>
        <w:textAlignment w:val="auto"/>
        <w:rPr>
          <w:rFonts w:ascii="黑体" w:hAnsi="黑体" w:eastAsia="黑体"/>
          <w:color w:val="auto"/>
          <w:sz w:val="32"/>
          <w:szCs w:val="32"/>
        </w:rPr>
        <w:sectPr>
          <w:headerReference r:id="rId3" w:type="default"/>
          <w:footerReference r:id="rId4" w:type="default"/>
          <w:pgSz w:w="11906" w:h="16838"/>
          <w:pgMar w:top="1440" w:right="1800" w:bottom="1440" w:left="1800" w:header="851" w:footer="992" w:gutter="0"/>
          <w:pgNumType w:fmt="decimal"/>
          <w:cols w:space="425" w:num="1"/>
          <w:docGrid w:type="lines" w:linePitch="312" w:charSpace="0"/>
        </w:sectPr>
      </w:pPr>
    </w:p>
    <w:p w14:paraId="41601692">
      <w:pPr>
        <w:keepNext w:val="0"/>
        <w:keepLines w:val="0"/>
        <w:pageBreakBefore w:val="0"/>
        <w:numPr>
          <w:ilvl w:val="0"/>
          <w:numId w:val="0"/>
        </w:numPr>
        <w:tabs>
          <w:tab w:val="left" w:pos="0"/>
        </w:tabs>
        <w:kinsoku/>
        <w:overflowPunct/>
        <w:topLinePunct w:val="0"/>
        <w:autoSpaceDE/>
        <w:autoSpaceDN/>
        <w:bidi w:val="0"/>
        <w:adjustRightInd/>
        <w:snapToGrid/>
        <w:spacing w:line="580" w:lineRule="exact"/>
        <w:textAlignment w:val="auto"/>
        <w:rPr>
          <w:rFonts w:hint="default"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附件3</w:t>
      </w:r>
    </w:p>
    <w:p w14:paraId="30D1FDCF">
      <w:pPr>
        <w:keepNext w:val="0"/>
        <w:keepLines w:val="0"/>
        <w:pageBreakBefore w:val="0"/>
        <w:kinsoku/>
        <w:overflowPunct/>
        <w:topLinePunct w:val="0"/>
        <w:autoSpaceDE/>
        <w:autoSpaceDN/>
        <w:bidi w:val="0"/>
        <w:adjustRightInd/>
        <w:snapToGrid/>
        <w:spacing w:line="580" w:lineRule="exact"/>
        <w:textAlignment w:val="auto"/>
        <w:rPr>
          <w:rFonts w:ascii="Calibri" w:hAnsi="Calibri" w:eastAsia="宋体" w:cs="Times New Roman"/>
          <w:color w:val="auto"/>
          <w:sz w:val="32"/>
          <w:szCs w:val="32"/>
        </w:rPr>
      </w:pPr>
    </w:p>
    <w:p w14:paraId="2C33DE57">
      <w:pPr>
        <w:keepNext w:val="0"/>
        <w:keepLines w:val="0"/>
        <w:pageBreakBefore w:val="0"/>
        <w:kinsoku/>
        <w:overflowPunct/>
        <w:topLinePunct w:val="0"/>
        <w:autoSpaceDE/>
        <w:autoSpaceDN/>
        <w:bidi w:val="0"/>
        <w:adjustRightInd/>
        <w:snapToGrid/>
        <w:spacing w:line="580" w:lineRule="exact"/>
        <w:jc w:val="center"/>
        <w:textAlignment w:val="auto"/>
        <w:outlineLvl w:val="0"/>
        <w:rPr>
          <w:rFonts w:hint="eastAsia" w:ascii="方正小标宋简体" w:hAnsi="方正小标宋简体" w:eastAsia="方正小标宋简体" w:cs="方正小标宋简体"/>
          <w:b w:val="0"/>
          <w:bCs w:val="0"/>
          <w:color w:val="auto"/>
          <w:sz w:val="44"/>
          <w:szCs w:val="44"/>
        </w:rPr>
      </w:pPr>
      <w:bookmarkStart w:id="3" w:name="_Toc12123"/>
      <w:r>
        <w:rPr>
          <w:rFonts w:hint="eastAsia" w:ascii="方正小标宋简体" w:hAnsi="方正小标宋简体" w:eastAsia="方正小标宋简体" w:cs="方正小标宋简体"/>
          <w:b w:val="0"/>
          <w:bCs w:val="0"/>
          <w:color w:val="auto"/>
          <w:sz w:val="44"/>
          <w:szCs w:val="44"/>
        </w:rPr>
        <w:t>生物医药研发及产业化奖励实施细则</w:t>
      </w:r>
      <w:bookmarkEnd w:id="3"/>
    </w:p>
    <w:p w14:paraId="46F245C5">
      <w:pPr>
        <w:keepNext w:val="0"/>
        <w:keepLines w:val="0"/>
        <w:pageBreakBefore w:val="0"/>
        <w:kinsoku/>
        <w:overflowPunct/>
        <w:topLinePunct w:val="0"/>
        <w:autoSpaceDE/>
        <w:autoSpaceDN/>
        <w:bidi w:val="0"/>
        <w:adjustRightInd/>
        <w:snapToGrid/>
        <w:spacing w:line="580" w:lineRule="exact"/>
        <w:jc w:val="center"/>
        <w:textAlignment w:val="auto"/>
        <w:rPr>
          <w:rFonts w:hint="eastAsia" w:ascii="方正小标宋简体" w:hAnsi="方正小标宋简体" w:eastAsia="方正小标宋简体" w:cs="方正小标宋简体"/>
          <w:b w:val="0"/>
          <w:bCs w:val="0"/>
          <w:color w:val="auto"/>
          <w:sz w:val="32"/>
          <w:szCs w:val="32"/>
        </w:rPr>
      </w:pPr>
      <w:r>
        <w:rPr>
          <w:rFonts w:hint="eastAsia" w:ascii="方正仿宋_GBK" w:hAnsi="方正仿宋_GBK" w:eastAsia="方正仿宋_GBK" w:cs="方正仿宋_GBK"/>
          <w:sz w:val="32"/>
          <w:szCs w:val="32"/>
          <w:lang w:eastAsia="zh-CN"/>
        </w:rPr>
        <w:t>（征求意见稿）</w:t>
      </w:r>
    </w:p>
    <w:p w14:paraId="3C29EF2F">
      <w:pPr>
        <w:keepNext w:val="0"/>
        <w:keepLines w:val="0"/>
        <w:pageBreakBefore w:val="0"/>
        <w:numPr>
          <w:ilvl w:val="0"/>
          <w:numId w:val="3"/>
        </w:numPr>
        <w:kinsoku/>
        <w:overflowPunct/>
        <w:topLinePunct w:val="0"/>
        <w:autoSpaceDE/>
        <w:autoSpaceDN/>
        <w:bidi w:val="0"/>
        <w:adjustRightInd/>
        <w:snapToGrid/>
        <w:spacing w:line="580" w:lineRule="exact"/>
        <w:jc w:val="center"/>
        <w:textAlignment w:val="auto"/>
        <w:rPr>
          <w:rFonts w:ascii="黑体" w:hAnsi="黑体" w:eastAsia="黑体" w:cs="黑体"/>
          <w:color w:val="auto"/>
          <w:sz w:val="32"/>
          <w:szCs w:val="32"/>
        </w:rPr>
      </w:pPr>
      <w:r>
        <w:rPr>
          <w:rFonts w:hint="eastAsia" w:ascii="黑体" w:hAnsi="黑体" w:eastAsia="黑体" w:cs="黑体"/>
          <w:color w:val="auto"/>
          <w:sz w:val="32"/>
          <w:szCs w:val="32"/>
        </w:rPr>
        <w:t>总则</w:t>
      </w:r>
    </w:p>
    <w:p w14:paraId="214C3B7B">
      <w:pPr>
        <w:keepNext w:val="0"/>
        <w:keepLines w:val="0"/>
        <w:pageBreakBefore w:val="0"/>
        <w:numPr>
          <w:ilvl w:val="0"/>
          <w:numId w:val="4"/>
        </w:numPr>
        <w:kinsoku/>
        <w:overflowPunct/>
        <w:topLinePunct w:val="0"/>
        <w:autoSpaceDE/>
        <w:autoSpaceDN/>
        <w:bidi w:val="0"/>
        <w:adjustRightInd/>
        <w:snapToGrid/>
        <w:spacing w:line="580" w:lineRule="exact"/>
        <w:ind w:firstLine="640" w:firstLineChars="200"/>
        <w:jc w:val="left"/>
        <w:textAlignment w:val="auto"/>
        <w:rPr>
          <w:rFonts w:ascii="仿宋" w:hAnsi="仿宋" w:eastAsia="仿宋" w:cs="仿宋"/>
          <w:color w:val="auto"/>
          <w:sz w:val="32"/>
          <w:szCs w:val="32"/>
        </w:rPr>
      </w:pPr>
      <w:r>
        <w:rPr>
          <w:rFonts w:hint="eastAsia" w:ascii="仿宋" w:hAnsi="仿宋" w:eastAsia="仿宋" w:cs="仿宋"/>
          <w:color w:val="auto"/>
          <w:sz w:val="32"/>
          <w:szCs w:val="32"/>
        </w:rPr>
        <w:t>根据《关于支持新一代电子信息产业和生物医药产业率先突破的若干措施》有关规定，制定本细则。</w:t>
      </w:r>
    </w:p>
    <w:p w14:paraId="60A53B18">
      <w:pPr>
        <w:keepNext w:val="0"/>
        <w:keepLines w:val="0"/>
        <w:pageBreakBefore w:val="0"/>
        <w:numPr>
          <w:ilvl w:val="0"/>
          <w:numId w:val="4"/>
        </w:numPr>
        <w:kinsoku/>
        <w:overflowPunct/>
        <w:topLinePunct w:val="0"/>
        <w:autoSpaceDE/>
        <w:autoSpaceDN/>
        <w:bidi w:val="0"/>
        <w:adjustRightInd/>
        <w:snapToGrid/>
        <w:spacing w:line="580" w:lineRule="exact"/>
        <w:ind w:firstLine="640" w:firstLineChars="200"/>
        <w:jc w:val="left"/>
        <w:textAlignment w:val="auto"/>
        <w:rPr>
          <w:rFonts w:ascii="仿宋" w:hAnsi="仿宋" w:eastAsia="仿宋" w:cs="仿宋"/>
          <w:color w:val="auto"/>
          <w:sz w:val="32"/>
          <w:szCs w:val="32"/>
        </w:rPr>
      </w:pPr>
      <w:r>
        <w:rPr>
          <w:rFonts w:hint="eastAsia" w:ascii="仿宋" w:hAnsi="仿宋" w:eastAsia="仿宋" w:cs="仿宋"/>
          <w:color w:val="auto"/>
          <w:sz w:val="32"/>
          <w:szCs w:val="32"/>
        </w:rPr>
        <w:t>本细则采取事后奖励方式，所需资金从市主导产业专项资金中列支。</w:t>
      </w:r>
    </w:p>
    <w:p w14:paraId="31FD7445">
      <w:pPr>
        <w:keepNext w:val="0"/>
        <w:keepLines w:val="0"/>
        <w:pageBreakBefore w:val="0"/>
        <w:numPr>
          <w:ilvl w:val="0"/>
          <w:numId w:val="3"/>
        </w:numPr>
        <w:kinsoku/>
        <w:overflowPunct/>
        <w:topLinePunct w:val="0"/>
        <w:autoSpaceDE/>
        <w:autoSpaceDN/>
        <w:bidi w:val="0"/>
        <w:adjustRightInd/>
        <w:snapToGrid/>
        <w:spacing w:line="580" w:lineRule="exact"/>
        <w:jc w:val="center"/>
        <w:textAlignment w:val="auto"/>
        <w:rPr>
          <w:rFonts w:ascii="黑体" w:hAnsi="黑体" w:eastAsia="黑体" w:cs="黑体"/>
          <w:color w:val="auto"/>
          <w:sz w:val="32"/>
          <w:szCs w:val="32"/>
        </w:rPr>
      </w:pPr>
      <w:r>
        <w:rPr>
          <w:rFonts w:hint="eastAsia" w:ascii="黑体" w:hAnsi="黑体" w:eastAsia="黑体" w:cs="黑体"/>
          <w:color w:val="auto"/>
          <w:sz w:val="32"/>
          <w:szCs w:val="32"/>
        </w:rPr>
        <w:t>支持和奖励认定范围</w:t>
      </w:r>
    </w:p>
    <w:p w14:paraId="49BDF56F">
      <w:pPr>
        <w:keepNext w:val="0"/>
        <w:keepLines w:val="0"/>
        <w:pageBreakBefore w:val="0"/>
        <w:numPr>
          <w:ilvl w:val="0"/>
          <w:numId w:val="4"/>
        </w:numPr>
        <w:kinsoku/>
        <w:overflowPunct/>
        <w:topLinePunct w:val="0"/>
        <w:autoSpaceDE/>
        <w:autoSpaceDN/>
        <w:bidi w:val="0"/>
        <w:adjustRightInd/>
        <w:snapToGrid/>
        <w:spacing w:line="580" w:lineRule="exact"/>
        <w:ind w:firstLine="640" w:firstLineChars="200"/>
        <w:jc w:val="left"/>
        <w:textAlignment w:val="auto"/>
        <w:rPr>
          <w:rFonts w:ascii="仿宋" w:hAnsi="仿宋" w:eastAsia="仿宋" w:cs="仿宋"/>
          <w:color w:val="auto"/>
          <w:sz w:val="32"/>
          <w:szCs w:val="32"/>
        </w:rPr>
      </w:pPr>
      <w:r>
        <w:rPr>
          <w:rFonts w:hint="eastAsia" w:ascii="仿宋" w:hAnsi="仿宋" w:eastAsia="仿宋" w:cs="仿宋"/>
          <w:color w:val="auto"/>
          <w:sz w:val="32"/>
          <w:szCs w:val="32"/>
        </w:rPr>
        <w:t>申请单位</w:t>
      </w:r>
      <w:r>
        <w:rPr>
          <w:rFonts w:hint="eastAsia" w:ascii="仿宋" w:hAnsi="仿宋" w:eastAsia="仿宋" w:cs="仿宋"/>
          <w:color w:val="auto"/>
          <w:sz w:val="32"/>
          <w:szCs w:val="32"/>
          <w:lang w:eastAsia="zh-CN"/>
        </w:rPr>
        <w:t>应</w:t>
      </w:r>
      <w:r>
        <w:rPr>
          <w:rFonts w:hint="eastAsia" w:ascii="仿宋" w:hAnsi="仿宋" w:eastAsia="仿宋" w:cs="仿宋"/>
          <w:color w:val="auto"/>
          <w:sz w:val="32"/>
          <w:szCs w:val="32"/>
        </w:rPr>
        <w:t>具有独立法人资格,取得药品或医疗器械生产资质,无违法失信记录。</w:t>
      </w:r>
    </w:p>
    <w:p w14:paraId="06A35144">
      <w:pPr>
        <w:keepNext w:val="0"/>
        <w:keepLines w:val="0"/>
        <w:pageBreakBefore w:val="0"/>
        <w:numPr>
          <w:ilvl w:val="0"/>
          <w:numId w:val="3"/>
        </w:numPr>
        <w:kinsoku/>
        <w:overflowPunct/>
        <w:topLinePunct w:val="0"/>
        <w:autoSpaceDE/>
        <w:autoSpaceDN/>
        <w:bidi w:val="0"/>
        <w:adjustRightInd/>
        <w:snapToGrid/>
        <w:spacing w:line="580" w:lineRule="exact"/>
        <w:jc w:val="center"/>
        <w:textAlignment w:val="auto"/>
        <w:rPr>
          <w:rFonts w:ascii="黑体" w:hAnsi="黑体" w:eastAsia="黑体" w:cs="黑体"/>
          <w:color w:val="auto"/>
          <w:sz w:val="32"/>
          <w:szCs w:val="32"/>
        </w:rPr>
      </w:pPr>
      <w:r>
        <w:rPr>
          <w:rFonts w:hint="eastAsia" w:ascii="黑体" w:hAnsi="黑体" w:eastAsia="黑体" w:cs="黑体"/>
          <w:color w:val="auto"/>
          <w:sz w:val="32"/>
          <w:szCs w:val="32"/>
        </w:rPr>
        <w:t>奖励标准</w:t>
      </w:r>
    </w:p>
    <w:p w14:paraId="10607FB1">
      <w:pPr>
        <w:keepNext w:val="0"/>
        <w:keepLines w:val="0"/>
        <w:pageBreakBefore w:val="0"/>
        <w:numPr>
          <w:ilvl w:val="0"/>
          <w:numId w:val="4"/>
        </w:numPr>
        <w:kinsoku/>
        <w:overflowPunct/>
        <w:topLinePunct w:val="0"/>
        <w:autoSpaceDE/>
        <w:autoSpaceDN/>
        <w:bidi w:val="0"/>
        <w:adjustRightInd/>
        <w:snapToGrid/>
        <w:spacing w:line="580" w:lineRule="exact"/>
        <w:ind w:firstLine="640" w:firstLineChars="200"/>
        <w:jc w:val="left"/>
        <w:textAlignment w:val="auto"/>
        <w:rPr>
          <w:rFonts w:ascii="仿宋" w:hAnsi="仿宋" w:eastAsia="仿宋" w:cs="仿宋"/>
          <w:color w:val="auto"/>
          <w:sz w:val="32"/>
          <w:szCs w:val="32"/>
        </w:rPr>
      </w:pPr>
      <w:r>
        <w:rPr>
          <w:rFonts w:hint="eastAsia" w:ascii="仿宋" w:hAnsi="仿宋" w:eastAsia="仿宋" w:cs="仿宋"/>
          <w:bCs/>
          <w:color w:val="auto"/>
          <w:sz w:val="32"/>
          <w:szCs w:val="32"/>
        </w:rPr>
        <w:t>新药研发</w:t>
      </w:r>
      <w:r>
        <w:rPr>
          <w:rFonts w:hint="eastAsia" w:ascii="仿宋" w:hAnsi="仿宋" w:eastAsia="仿宋" w:cs="仿宋"/>
          <w:bCs/>
          <w:color w:val="auto"/>
          <w:sz w:val="32"/>
          <w:szCs w:val="32"/>
          <w:lang w:eastAsia="zh-CN"/>
        </w:rPr>
        <w:t>及</w:t>
      </w:r>
      <w:r>
        <w:rPr>
          <w:rFonts w:hint="eastAsia" w:ascii="仿宋" w:hAnsi="仿宋" w:eastAsia="仿宋" w:cs="仿宋"/>
          <w:bCs/>
          <w:color w:val="auto"/>
          <w:sz w:val="32"/>
          <w:szCs w:val="32"/>
        </w:rPr>
        <w:t>产业化奖励。</w:t>
      </w:r>
    </w:p>
    <w:p w14:paraId="0F4DE7AC">
      <w:pPr>
        <w:keepNext w:val="0"/>
        <w:keepLines w:val="0"/>
        <w:pageBreakBefore w:val="0"/>
        <w:kinsoku/>
        <w:overflowPunct/>
        <w:topLinePunct w:val="0"/>
        <w:autoSpaceDE/>
        <w:autoSpaceDN/>
        <w:bidi w:val="0"/>
        <w:adjustRightInd/>
        <w:snapToGrid/>
        <w:spacing w:line="58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（一）生物制品（体外诊断试剂除外）、化学药和中药的创新药。</w:t>
      </w:r>
      <w:r>
        <w:rPr>
          <w:rFonts w:hint="eastAsia" w:ascii="仿宋" w:hAnsi="仿宋" w:eastAsia="仿宋" w:cs="仿宋"/>
          <w:color w:val="auto"/>
          <w:sz w:val="32"/>
          <w:szCs w:val="32"/>
          <w:lang w:eastAsia="zh-CN"/>
        </w:rPr>
        <w:t>对获得临床批件、</w:t>
      </w:r>
      <w:r>
        <w:rPr>
          <w:rFonts w:hint="eastAsia" w:ascii="仿宋" w:hAnsi="仿宋" w:eastAsia="仿宋" w:cs="仿宋"/>
          <w:color w:val="auto"/>
          <w:sz w:val="32"/>
          <w:szCs w:val="32"/>
        </w:rPr>
        <w:t>完成I、II、III期临床试验的，</w:t>
      </w:r>
      <w:r>
        <w:rPr>
          <w:rFonts w:hint="eastAsia" w:ascii="仿宋" w:hAnsi="仿宋" w:eastAsia="仿宋" w:cs="仿宋"/>
          <w:color w:val="auto"/>
          <w:sz w:val="32"/>
          <w:szCs w:val="32"/>
          <w:lang w:eastAsia="zh-CN"/>
        </w:rPr>
        <w:t>每个品种</w:t>
      </w:r>
      <w:r>
        <w:rPr>
          <w:rFonts w:hint="eastAsia" w:ascii="仿宋" w:hAnsi="仿宋" w:eastAsia="仿宋" w:cs="仿宋"/>
          <w:color w:val="auto"/>
          <w:sz w:val="32"/>
          <w:szCs w:val="32"/>
        </w:rPr>
        <w:t>分别给予不超过</w:t>
      </w:r>
      <w:r>
        <w:rPr>
          <w:rFonts w:hint="eastAsia" w:ascii="仿宋" w:hAnsi="仿宋" w:eastAsia="仿宋" w:cs="仿宋"/>
          <w:color w:val="auto"/>
          <w:sz w:val="32"/>
          <w:szCs w:val="32"/>
          <w:lang w:val="en-US" w:eastAsia="zh-CN"/>
        </w:rPr>
        <w:t>200万元、</w:t>
      </w:r>
      <w:r>
        <w:rPr>
          <w:rFonts w:hint="eastAsia" w:ascii="仿宋" w:hAnsi="仿宋" w:eastAsia="仿宋" w:cs="仿宋"/>
          <w:color w:val="auto"/>
          <w:sz w:val="32"/>
          <w:szCs w:val="32"/>
        </w:rPr>
        <w:t>300万</w:t>
      </w:r>
      <w:r>
        <w:rPr>
          <w:rFonts w:hint="eastAsia" w:ascii="仿宋" w:hAnsi="仿宋" w:eastAsia="仿宋" w:cs="仿宋"/>
          <w:color w:val="auto"/>
          <w:sz w:val="32"/>
          <w:szCs w:val="32"/>
          <w:lang w:eastAsia="zh-CN"/>
        </w:rPr>
        <w:t>元</w:t>
      </w:r>
      <w:r>
        <w:rPr>
          <w:rFonts w:hint="eastAsia" w:ascii="仿宋" w:hAnsi="仿宋" w:eastAsia="仿宋" w:cs="仿宋"/>
          <w:color w:val="auto"/>
          <w:sz w:val="32"/>
          <w:szCs w:val="32"/>
        </w:rPr>
        <w:t>、500万</w:t>
      </w:r>
      <w:r>
        <w:rPr>
          <w:rFonts w:hint="eastAsia" w:ascii="仿宋" w:hAnsi="仿宋" w:eastAsia="仿宋" w:cs="仿宋"/>
          <w:color w:val="auto"/>
          <w:sz w:val="32"/>
          <w:szCs w:val="32"/>
          <w:lang w:eastAsia="zh-CN"/>
        </w:rPr>
        <w:t>元</w:t>
      </w:r>
      <w:r>
        <w:rPr>
          <w:rFonts w:hint="eastAsia" w:ascii="仿宋" w:hAnsi="仿宋" w:eastAsia="仿宋" w:cs="仿宋"/>
          <w:color w:val="auto"/>
          <w:sz w:val="32"/>
          <w:szCs w:val="32"/>
        </w:rPr>
        <w:t>、1000万元奖励。获得药品注册证书</w:t>
      </w:r>
      <w:r>
        <w:rPr>
          <w:rFonts w:hint="eastAsia" w:ascii="仿宋" w:hAnsi="仿宋" w:eastAsia="仿宋" w:cs="仿宋"/>
          <w:color w:val="auto"/>
          <w:sz w:val="32"/>
          <w:szCs w:val="32"/>
          <w:lang w:eastAsia="zh-CN"/>
        </w:rPr>
        <w:t>且已实施</w:t>
      </w:r>
      <w:r>
        <w:rPr>
          <w:rFonts w:hint="eastAsia" w:ascii="仿宋" w:hAnsi="仿宋" w:eastAsia="仿宋" w:cs="仿宋"/>
          <w:color w:val="auto"/>
          <w:sz w:val="32"/>
          <w:szCs w:val="32"/>
        </w:rPr>
        <w:t>产业化</w:t>
      </w:r>
      <w:r>
        <w:rPr>
          <w:rFonts w:hint="eastAsia" w:ascii="仿宋" w:hAnsi="仿宋" w:eastAsia="仿宋" w:cs="仿宋"/>
          <w:color w:val="auto"/>
          <w:sz w:val="32"/>
          <w:szCs w:val="32"/>
          <w:lang w:eastAsia="zh-CN"/>
        </w:rPr>
        <w:t>的项目</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给予不超过</w:t>
      </w:r>
      <w:r>
        <w:rPr>
          <w:rFonts w:hint="eastAsia" w:ascii="仿宋" w:hAnsi="仿宋" w:eastAsia="仿宋" w:cs="仿宋"/>
          <w:color w:val="auto"/>
          <w:sz w:val="32"/>
          <w:szCs w:val="32"/>
          <w:lang w:val="en-US" w:eastAsia="zh-CN"/>
        </w:rPr>
        <w:t>500万元奖励</w:t>
      </w:r>
      <w:r>
        <w:rPr>
          <w:rFonts w:hint="eastAsia" w:ascii="仿宋" w:hAnsi="仿宋" w:eastAsia="仿宋" w:cs="仿宋"/>
          <w:color w:val="auto"/>
          <w:sz w:val="32"/>
          <w:szCs w:val="32"/>
        </w:rPr>
        <w:t>。</w:t>
      </w:r>
    </w:p>
    <w:p w14:paraId="36EA8842">
      <w:pPr>
        <w:keepNext w:val="0"/>
        <w:keepLines w:val="0"/>
        <w:pageBreakBefore w:val="0"/>
        <w:kinsoku/>
        <w:wordWrap/>
        <w:overflowPunct/>
        <w:topLinePunct w:val="0"/>
        <w:autoSpaceDE/>
        <w:autoSpaceDN/>
        <w:bidi w:val="0"/>
        <w:adjustRightInd/>
        <w:snapToGrid/>
        <w:spacing w:line="600" w:lineRule="exact"/>
        <w:ind w:right="0" w:rightChars="0" w:firstLine="640" w:firstLineChars="200"/>
        <w:textAlignment w:val="auto"/>
        <w:rPr>
          <w:rFonts w:hint="eastAsia" w:ascii="仿宋" w:hAnsi="仿宋" w:eastAsia="仿宋" w:cs="仿宋"/>
          <w:bCs/>
          <w:color w:val="auto"/>
          <w:sz w:val="32"/>
          <w:szCs w:val="32"/>
        </w:rPr>
      </w:pPr>
      <w:r>
        <w:rPr>
          <w:rFonts w:hint="eastAsia" w:ascii="仿宋" w:hAnsi="仿宋" w:eastAsia="仿宋" w:cs="仿宋"/>
          <w:color w:val="auto"/>
          <w:sz w:val="32"/>
          <w:szCs w:val="32"/>
        </w:rPr>
        <w:t>（二）生物制品（体外诊断试剂除外）、化学药和中药的改良型新药。</w:t>
      </w:r>
      <w:r>
        <w:rPr>
          <w:rFonts w:hint="eastAsia" w:ascii="仿宋" w:hAnsi="仿宋" w:eastAsia="仿宋" w:cs="仿宋"/>
          <w:color w:val="auto"/>
          <w:sz w:val="32"/>
          <w:szCs w:val="32"/>
          <w:lang w:eastAsia="zh-CN"/>
        </w:rPr>
        <w:t>对获得临床批件、</w:t>
      </w:r>
      <w:r>
        <w:rPr>
          <w:rFonts w:hint="eastAsia" w:ascii="仿宋" w:hAnsi="仿宋" w:eastAsia="仿宋" w:cs="仿宋"/>
          <w:color w:val="auto"/>
          <w:sz w:val="32"/>
          <w:szCs w:val="32"/>
        </w:rPr>
        <w:t>完成I、II、III期临床试验的品种，分别给予不超过</w:t>
      </w:r>
      <w:r>
        <w:rPr>
          <w:rFonts w:hint="eastAsia" w:ascii="仿宋" w:hAnsi="仿宋" w:eastAsia="仿宋" w:cs="仿宋"/>
          <w:color w:val="auto"/>
          <w:sz w:val="32"/>
          <w:szCs w:val="32"/>
          <w:lang w:val="en-US" w:eastAsia="zh-CN"/>
        </w:rPr>
        <w:t>100万元、</w:t>
      </w:r>
      <w:r>
        <w:rPr>
          <w:rFonts w:hint="eastAsia" w:ascii="仿宋" w:hAnsi="仿宋" w:eastAsia="仿宋" w:cs="仿宋"/>
          <w:color w:val="auto"/>
          <w:sz w:val="32"/>
          <w:szCs w:val="32"/>
        </w:rPr>
        <w:t>100万</w:t>
      </w:r>
      <w:r>
        <w:rPr>
          <w:rFonts w:hint="eastAsia" w:ascii="仿宋" w:hAnsi="仿宋" w:eastAsia="仿宋" w:cs="仿宋"/>
          <w:color w:val="auto"/>
          <w:sz w:val="32"/>
          <w:szCs w:val="32"/>
          <w:lang w:eastAsia="zh-CN"/>
        </w:rPr>
        <w:t>元</w:t>
      </w:r>
      <w:r>
        <w:rPr>
          <w:rFonts w:hint="eastAsia" w:ascii="仿宋" w:hAnsi="仿宋" w:eastAsia="仿宋" w:cs="仿宋"/>
          <w:color w:val="auto"/>
          <w:sz w:val="32"/>
          <w:szCs w:val="32"/>
        </w:rPr>
        <w:t>、200万</w:t>
      </w:r>
      <w:r>
        <w:rPr>
          <w:rFonts w:hint="eastAsia" w:ascii="仿宋" w:hAnsi="仿宋" w:eastAsia="仿宋" w:cs="仿宋"/>
          <w:color w:val="auto"/>
          <w:sz w:val="32"/>
          <w:szCs w:val="32"/>
          <w:lang w:eastAsia="zh-CN"/>
        </w:rPr>
        <w:t>元</w:t>
      </w:r>
      <w:r>
        <w:rPr>
          <w:rFonts w:hint="eastAsia" w:ascii="仿宋" w:hAnsi="仿宋" w:eastAsia="仿宋" w:cs="仿宋"/>
          <w:color w:val="auto"/>
          <w:sz w:val="32"/>
          <w:szCs w:val="32"/>
        </w:rPr>
        <w:t>、300万元奖励。获得药品注册证书</w:t>
      </w:r>
      <w:r>
        <w:rPr>
          <w:rFonts w:hint="eastAsia" w:ascii="仿宋" w:hAnsi="仿宋" w:eastAsia="仿宋" w:cs="仿宋"/>
          <w:color w:val="auto"/>
          <w:sz w:val="32"/>
          <w:szCs w:val="32"/>
          <w:lang w:eastAsia="zh-CN"/>
        </w:rPr>
        <w:t>且已实施</w:t>
      </w:r>
      <w:r>
        <w:rPr>
          <w:rFonts w:hint="eastAsia" w:ascii="仿宋" w:hAnsi="仿宋" w:eastAsia="仿宋" w:cs="仿宋"/>
          <w:color w:val="auto"/>
          <w:sz w:val="32"/>
          <w:szCs w:val="32"/>
        </w:rPr>
        <w:t>产业化</w:t>
      </w:r>
      <w:r>
        <w:rPr>
          <w:rFonts w:hint="eastAsia" w:ascii="仿宋" w:hAnsi="仿宋" w:eastAsia="仿宋" w:cs="仿宋"/>
          <w:color w:val="auto"/>
          <w:sz w:val="32"/>
          <w:szCs w:val="32"/>
          <w:lang w:eastAsia="zh-CN"/>
        </w:rPr>
        <w:t>的项目</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给予不超过</w:t>
      </w:r>
      <w:r>
        <w:rPr>
          <w:rFonts w:hint="eastAsia" w:ascii="仿宋" w:hAnsi="仿宋" w:eastAsia="仿宋" w:cs="仿宋"/>
          <w:color w:val="auto"/>
          <w:sz w:val="32"/>
          <w:szCs w:val="32"/>
          <w:lang w:val="en-US" w:eastAsia="zh-CN"/>
        </w:rPr>
        <w:t>300万元奖励</w:t>
      </w:r>
      <w:r>
        <w:rPr>
          <w:rFonts w:hint="eastAsia" w:ascii="仿宋" w:hAnsi="仿宋" w:eastAsia="仿宋" w:cs="仿宋"/>
          <w:color w:val="auto"/>
          <w:sz w:val="32"/>
          <w:szCs w:val="32"/>
        </w:rPr>
        <w:t>。</w:t>
      </w:r>
    </w:p>
    <w:p w14:paraId="34FC3F77">
      <w:pPr>
        <w:keepNext w:val="0"/>
        <w:keepLines w:val="0"/>
        <w:pageBreakBefore w:val="0"/>
        <w:numPr>
          <w:ilvl w:val="0"/>
          <w:numId w:val="4"/>
        </w:numPr>
        <w:kinsoku/>
        <w:overflowPunct/>
        <w:topLinePunct w:val="0"/>
        <w:autoSpaceDE/>
        <w:autoSpaceDN/>
        <w:bidi w:val="0"/>
        <w:adjustRightInd/>
        <w:snapToGrid/>
        <w:spacing w:line="580" w:lineRule="exact"/>
        <w:ind w:firstLine="640" w:firstLineChars="200"/>
        <w:jc w:val="left"/>
        <w:textAlignment w:val="auto"/>
        <w:rPr>
          <w:rFonts w:hint="eastAsia" w:ascii="仿宋" w:hAnsi="仿宋" w:eastAsia="仿宋" w:cs="仿宋"/>
          <w:bCs/>
          <w:color w:val="auto"/>
          <w:sz w:val="32"/>
          <w:szCs w:val="32"/>
        </w:rPr>
      </w:pPr>
      <w:r>
        <w:rPr>
          <w:rFonts w:hint="eastAsia" w:ascii="仿宋" w:hAnsi="仿宋" w:eastAsia="仿宋" w:cs="仿宋"/>
          <w:bCs/>
          <w:color w:val="auto"/>
          <w:sz w:val="32"/>
          <w:szCs w:val="32"/>
        </w:rPr>
        <w:t>仿制药</w:t>
      </w:r>
      <w:r>
        <w:rPr>
          <w:rFonts w:hint="eastAsia" w:ascii="仿宋" w:hAnsi="仿宋" w:eastAsia="仿宋" w:cs="仿宋"/>
          <w:bCs/>
          <w:color w:val="auto"/>
          <w:sz w:val="32"/>
          <w:szCs w:val="32"/>
          <w:lang w:eastAsia="zh-CN"/>
        </w:rPr>
        <w:t>产业化</w:t>
      </w:r>
      <w:r>
        <w:rPr>
          <w:rFonts w:hint="eastAsia" w:ascii="仿宋" w:hAnsi="仿宋" w:eastAsia="仿宋" w:cs="仿宋"/>
          <w:bCs/>
          <w:color w:val="auto"/>
          <w:sz w:val="32"/>
          <w:szCs w:val="32"/>
        </w:rPr>
        <w:t>奖励。</w:t>
      </w:r>
      <w:r>
        <w:rPr>
          <w:rFonts w:hint="eastAsia" w:ascii="仿宋" w:hAnsi="仿宋" w:eastAsia="仿宋" w:cs="仿宋"/>
          <w:color w:val="auto"/>
          <w:sz w:val="32"/>
          <w:szCs w:val="32"/>
        </w:rPr>
        <w:t>对于治疗重大疾病的首仿药（化药和生物制品）</w:t>
      </w:r>
      <w:r>
        <w:rPr>
          <w:rFonts w:hint="eastAsia" w:ascii="仿宋" w:hAnsi="仿宋" w:eastAsia="仿宋" w:cs="仿宋"/>
          <w:color w:val="auto"/>
          <w:sz w:val="32"/>
          <w:szCs w:val="32"/>
          <w:lang w:eastAsia="zh-CN"/>
        </w:rPr>
        <w:t>，获得</w:t>
      </w:r>
      <w:r>
        <w:rPr>
          <w:rFonts w:hint="eastAsia" w:ascii="仿宋" w:hAnsi="仿宋" w:eastAsia="仿宋" w:cs="仿宋"/>
          <w:color w:val="auto"/>
          <w:sz w:val="32"/>
          <w:szCs w:val="32"/>
        </w:rPr>
        <w:t>药品注册</w:t>
      </w:r>
      <w:r>
        <w:rPr>
          <w:rFonts w:hint="eastAsia" w:ascii="仿宋" w:hAnsi="仿宋" w:eastAsia="仿宋" w:cs="仿宋"/>
          <w:color w:val="auto"/>
          <w:sz w:val="32"/>
          <w:szCs w:val="32"/>
          <w:lang w:eastAsia="zh-CN"/>
        </w:rPr>
        <w:t>证书</w:t>
      </w:r>
      <w:r>
        <w:rPr>
          <w:rFonts w:hint="eastAsia" w:ascii="仿宋" w:hAnsi="仿宋" w:eastAsia="仿宋" w:cs="仿宋"/>
          <w:color w:val="auto"/>
          <w:sz w:val="32"/>
          <w:szCs w:val="32"/>
        </w:rPr>
        <w:t>且已实施产业化的项目，每个批件给予一次性</w:t>
      </w:r>
      <w:r>
        <w:rPr>
          <w:rFonts w:hint="eastAsia" w:ascii="仿宋" w:hAnsi="仿宋" w:eastAsia="仿宋" w:cs="仿宋"/>
          <w:color w:val="auto"/>
          <w:sz w:val="32"/>
          <w:szCs w:val="32"/>
          <w:lang w:val="en-US" w:eastAsia="zh-CN"/>
        </w:rPr>
        <w:t>1</w:t>
      </w:r>
      <w:r>
        <w:rPr>
          <w:rFonts w:hint="eastAsia" w:ascii="仿宋" w:hAnsi="仿宋" w:eastAsia="仿宋" w:cs="仿宋"/>
          <w:color w:val="auto"/>
          <w:sz w:val="32"/>
          <w:szCs w:val="32"/>
        </w:rPr>
        <w:t>00万元资金支持。</w:t>
      </w:r>
    </w:p>
    <w:p w14:paraId="01C04F7E">
      <w:pPr>
        <w:keepNext w:val="0"/>
        <w:keepLines w:val="0"/>
        <w:pageBreakBefore w:val="0"/>
        <w:numPr>
          <w:ilvl w:val="0"/>
          <w:numId w:val="4"/>
        </w:numPr>
        <w:kinsoku/>
        <w:overflowPunct/>
        <w:topLinePunct w:val="0"/>
        <w:autoSpaceDE/>
        <w:autoSpaceDN/>
        <w:bidi w:val="0"/>
        <w:adjustRightInd/>
        <w:snapToGrid/>
        <w:spacing w:line="580" w:lineRule="exact"/>
        <w:ind w:firstLine="640" w:firstLineChars="200"/>
        <w:jc w:val="left"/>
        <w:textAlignment w:val="auto"/>
        <w:rPr>
          <w:rFonts w:ascii="仿宋" w:hAnsi="仿宋" w:eastAsia="仿宋" w:cs="仿宋"/>
          <w:color w:val="auto"/>
          <w:sz w:val="32"/>
          <w:szCs w:val="32"/>
        </w:rPr>
      </w:pPr>
      <w:r>
        <w:rPr>
          <w:rFonts w:hint="eastAsia" w:ascii="仿宋" w:hAnsi="仿宋" w:eastAsia="仿宋" w:cs="仿宋"/>
          <w:color w:val="auto"/>
          <w:kern w:val="0"/>
          <w:sz w:val="32"/>
          <w:szCs w:val="32"/>
          <w:shd w:val="clear" w:color="auto" w:fill="FFFFFF"/>
          <w:lang w:val="en-US" w:eastAsia="zh-CN" w:bidi="ar"/>
        </w:rPr>
        <w:t>医疗器械产业化奖励。对获得医疗器械注册证的三类医疗器械产品且已实施产业化的项目，单个品种给予一次性100万元资金支持，单个企业每年支持最高不超过200万元。对于通过国家创新医疗器械特别审查程序的三类医疗器械产品，获得的医疗器械注册证且已实施产业化的项目，每个许可证给予一次性300万元资金支持。</w:t>
      </w:r>
    </w:p>
    <w:p w14:paraId="157FE673">
      <w:pPr>
        <w:keepNext w:val="0"/>
        <w:keepLines w:val="0"/>
        <w:pageBreakBefore w:val="0"/>
        <w:numPr>
          <w:ilvl w:val="0"/>
          <w:numId w:val="4"/>
        </w:numPr>
        <w:kinsoku/>
        <w:overflowPunct/>
        <w:topLinePunct w:val="0"/>
        <w:autoSpaceDE/>
        <w:autoSpaceDN/>
        <w:bidi w:val="0"/>
        <w:adjustRightInd/>
        <w:snapToGrid/>
        <w:spacing w:line="580" w:lineRule="exact"/>
        <w:ind w:firstLine="640" w:firstLineChars="200"/>
        <w:jc w:val="left"/>
        <w:textAlignment w:val="auto"/>
        <w:rPr>
          <w:rFonts w:ascii="仿宋" w:hAnsi="仿宋" w:eastAsia="仿宋" w:cs="仿宋"/>
          <w:color w:val="auto"/>
          <w:sz w:val="32"/>
          <w:szCs w:val="32"/>
        </w:rPr>
      </w:pPr>
      <w:r>
        <w:rPr>
          <w:rFonts w:hint="eastAsia" w:ascii="仿宋" w:hAnsi="仿宋" w:eastAsia="仿宋" w:cs="仿宋"/>
          <w:color w:val="auto"/>
          <w:sz w:val="32"/>
          <w:szCs w:val="32"/>
        </w:rPr>
        <w:t>上述同一阶段奖励每个品种只享受一次。</w:t>
      </w:r>
    </w:p>
    <w:p w14:paraId="3300BE71">
      <w:pPr>
        <w:keepNext w:val="0"/>
        <w:keepLines w:val="0"/>
        <w:pageBreakBefore w:val="0"/>
        <w:numPr>
          <w:ilvl w:val="0"/>
          <w:numId w:val="3"/>
        </w:numPr>
        <w:kinsoku/>
        <w:overflowPunct/>
        <w:topLinePunct w:val="0"/>
        <w:autoSpaceDE/>
        <w:autoSpaceDN/>
        <w:bidi w:val="0"/>
        <w:adjustRightInd/>
        <w:snapToGrid/>
        <w:spacing w:line="580" w:lineRule="exact"/>
        <w:jc w:val="center"/>
        <w:textAlignment w:val="auto"/>
        <w:rPr>
          <w:rFonts w:ascii="黑体" w:hAnsi="黑体" w:eastAsia="黑体" w:cs="黑体"/>
          <w:color w:val="auto"/>
          <w:sz w:val="32"/>
          <w:szCs w:val="32"/>
        </w:rPr>
      </w:pPr>
      <w:r>
        <w:rPr>
          <w:rFonts w:hint="eastAsia" w:ascii="黑体" w:hAnsi="黑体" w:eastAsia="黑体" w:cs="黑体"/>
          <w:color w:val="auto"/>
          <w:sz w:val="32"/>
          <w:szCs w:val="32"/>
        </w:rPr>
        <w:t>申报程序、认定与评审</w:t>
      </w:r>
    </w:p>
    <w:p w14:paraId="61D62AE3">
      <w:pPr>
        <w:keepNext w:val="0"/>
        <w:keepLines w:val="0"/>
        <w:pageBreakBefore w:val="0"/>
        <w:numPr>
          <w:ilvl w:val="0"/>
          <w:numId w:val="4"/>
        </w:numPr>
        <w:kinsoku/>
        <w:overflowPunct/>
        <w:topLinePunct w:val="0"/>
        <w:autoSpaceDE/>
        <w:autoSpaceDN/>
        <w:bidi w:val="0"/>
        <w:adjustRightInd/>
        <w:snapToGrid/>
        <w:spacing w:line="580" w:lineRule="exact"/>
        <w:ind w:firstLine="640" w:firstLineChars="200"/>
        <w:jc w:val="left"/>
        <w:textAlignment w:val="auto"/>
        <w:rPr>
          <w:rFonts w:ascii="仿宋" w:hAnsi="仿宋" w:eastAsia="仿宋" w:cs="仿宋"/>
          <w:color w:val="auto"/>
          <w:sz w:val="32"/>
          <w:szCs w:val="32"/>
        </w:rPr>
      </w:pPr>
      <w:r>
        <w:rPr>
          <w:rFonts w:hint="eastAsia" w:ascii="仿宋" w:hAnsi="仿宋" w:eastAsia="仿宋" w:cs="仿宋"/>
          <w:color w:val="auto"/>
          <w:sz w:val="32"/>
          <w:szCs w:val="32"/>
        </w:rPr>
        <w:t>由申报单位所在县（市、区）发展改革、市场监督管理部门组织申报，经核实后联合行文报市发展改革委、市市场监督管理局。</w:t>
      </w:r>
    </w:p>
    <w:p w14:paraId="5BE26618">
      <w:pPr>
        <w:keepNext w:val="0"/>
        <w:keepLines w:val="0"/>
        <w:pageBreakBefore w:val="0"/>
        <w:numPr>
          <w:ilvl w:val="0"/>
          <w:numId w:val="4"/>
        </w:numPr>
        <w:kinsoku/>
        <w:overflowPunct/>
        <w:topLinePunct w:val="0"/>
        <w:autoSpaceDE/>
        <w:autoSpaceDN/>
        <w:bidi w:val="0"/>
        <w:adjustRightInd/>
        <w:snapToGrid/>
        <w:spacing w:line="580" w:lineRule="exact"/>
        <w:ind w:firstLine="640" w:firstLineChars="200"/>
        <w:jc w:val="left"/>
        <w:textAlignment w:val="auto"/>
        <w:rPr>
          <w:rFonts w:ascii="仿宋" w:hAnsi="仿宋" w:eastAsia="仿宋" w:cs="仿宋"/>
          <w:color w:val="auto"/>
          <w:sz w:val="32"/>
          <w:szCs w:val="32"/>
        </w:rPr>
      </w:pPr>
      <w:r>
        <w:rPr>
          <w:rFonts w:hint="eastAsia" w:ascii="仿宋" w:hAnsi="仿宋" w:eastAsia="仿宋" w:cs="仿宋"/>
          <w:color w:val="auto"/>
          <w:sz w:val="32"/>
          <w:szCs w:val="32"/>
        </w:rPr>
        <w:t>市市场监督管理局负责认定事项。</w:t>
      </w:r>
    </w:p>
    <w:p w14:paraId="14DE2214">
      <w:pPr>
        <w:keepNext w:val="0"/>
        <w:keepLines w:val="0"/>
        <w:pageBreakBefore w:val="0"/>
        <w:kinsoku/>
        <w:overflowPunct/>
        <w:topLinePunct w:val="0"/>
        <w:autoSpaceDE/>
        <w:autoSpaceDN/>
        <w:bidi w:val="0"/>
        <w:adjustRightInd/>
        <w:snapToGrid/>
        <w:spacing w:line="58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（一）对创新</w:t>
      </w:r>
      <w:r>
        <w:rPr>
          <w:rFonts w:hint="eastAsia" w:ascii="仿宋" w:hAnsi="仿宋" w:eastAsia="仿宋" w:cs="仿宋"/>
          <w:bCs/>
          <w:color w:val="auto"/>
          <w:sz w:val="32"/>
          <w:szCs w:val="32"/>
        </w:rPr>
        <w:t>药、</w:t>
      </w:r>
      <w:r>
        <w:rPr>
          <w:rFonts w:hint="eastAsia" w:ascii="仿宋" w:hAnsi="仿宋" w:eastAsia="仿宋" w:cs="仿宋"/>
          <w:color w:val="auto"/>
          <w:sz w:val="32"/>
          <w:szCs w:val="32"/>
        </w:rPr>
        <w:t>改良型新药取得药品临床试验批件及完成I期、II期、III期临床试验研究的认定。</w:t>
      </w:r>
    </w:p>
    <w:p w14:paraId="699115D3">
      <w:pPr>
        <w:keepNext w:val="0"/>
        <w:keepLines w:val="0"/>
        <w:pageBreakBefore w:val="0"/>
        <w:kinsoku/>
        <w:overflowPunct/>
        <w:topLinePunct w:val="0"/>
        <w:autoSpaceDE/>
        <w:autoSpaceDN/>
        <w:bidi w:val="0"/>
        <w:adjustRightInd/>
        <w:snapToGrid/>
        <w:spacing w:line="580" w:lineRule="exact"/>
        <w:ind w:firstLine="640" w:firstLineChars="200"/>
        <w:textAlignment w:val="auto"/>
        <w:rPr>
          <w:rFonts w:ascii="仿宋" w:hAnsi="仿宋" w:eastAsia="仿宋" w:cs="仿宋"/>
          <w:color w:val="auto"/>
          <w:sz w:val="32"/>
          <w:szCs w:val="32"/>
        </w:rPr>
      </w:pPr>
      <w:r>
        <w:rPr>
          <w:rFonts w:hint="eastAsia" w:ascii="仿宋" w:hAnsi="仿宋" w:eastAsia="仿宋" w:cs="仿宋"/>
          <w:color w:val="auto"/>
          <w:sz w:val="32"/>
          <w:szCs w:val="32"/>
        </w:rPr>
        <w:t>（二）对生物制品、化学药品、中药、医疗器械注册批件的认定。</w:t>
      </w:r>
    </w:p>
    <w:p w14:paraId="1372719D">
      <w:pPr>
        <w:keepNext w:val="0"/>
        <w:keepLines w:val="0"/>
        <w:pageBreakBefore w:val="0"/>
        <w:kinsoku/>
        <w:wordWrap/>
        <w:overflowPunct/>
        <w:topLinePunct w:val="0"/>
        <w:autoSpaceDE/>
        <w:autoSpaceDN/>
        <w:bidi w:val="0"/>
        <w:adjustRightInd/>
        <w:snapToGrid/>
        <w:spacing w:line="600" w:lineRule="exact"/>
        <w:ind w:right="0" w:rightChars="0" w:firstLine="640" w:firstLineChars="200"/>
        <w:textAlignment w:val="auto"/>
        <w:rPr>
          <w:rFonts w:ascii="仿宋" w:hAnsi="仿宋" w:eastAsia="仿宋" w:cs="仿宋"/>
          <w:color w:val="auto"/>
          <w:sz w:val="32"/>
          <w:szCs w:val="32"/>
        </w:rPr>
      </w:pPr>
      <w:r>
        <w:rPr>
          <w:rFonts w:hint="eastAsia" w:ascii="仿宋" w:hAnsi="仿宋" w:eastAsia="仿宋" w:cs="仿宋"/>
          <w:color w:val="auto"/>
          <w:sz w:val="32"/>
          <w:szCs w:val="32"/>
        </w:rPr>
        <w:t>（三）对于治疗重大疾病的首仿药（化药和生物制品）的认定。</w:t>
      </w:r>
    </w:p>
    <w:p w14:paraId="0DFA4BE5">
      <w:pPr>
        <w:keepNext w:val="0"/>
        <w:keepLines w:val="0"/>
        <w:pageBreakBefore w:val="0"/>
        <w:kinsoku/>
        <w:wordWrap/>
        <w:overflowPunct/>
        <w:topLinePunct w:val="0"/>
        <w:autoSpaceDE/>
        <w:autoSpaceDN/>
        <w:bidi w:val="0"/>
        <w:adjustRightInd/>
        <w:snapToGrid/>
        <w:spacing w:line="600" w:lineRule="exact"/>
        <w:ind w:right="0" w:rightChars="0" w:firstLine="640" w:firstLineChars="200"/>
        <w:textAlignment w:val="auto"/>
        <w:rPr>
          <w:rFonts w:ascii="仿宋" w:hAnsi="仿宋" w:eastAsia="仿宋" w:cs="仿宋"/>
          <w:color w:val="auto"/>
          <w:sz w:val="32"/>
          <w:szCs w:val="32"/>
        </w:rPr>
      </w:pPr>
      <w:r>
        <w:rPr>
          <w:rFonts w:hint="eastAsia" w:ascii="仿宋" w:hAnsi="仿宋" w:eastAsia="仿宋" w:cs="仿宋"/>
          <w:color w:val="auto"/>
          <w:sz w:val="32"/>
          <w:szCs w:val="32"/>
        </w:rPr>
        <w:t>认定事项按照国家药品监督管理局官方公布时间顺序为准。</w:t>
      </w:r>
    </w:p>
    <w:p w14:paraId="22EF789A">
      <w:pPr>
        <w:keepNext w:val="0"/>
        <w:keepLines w:val="0"/>
        <w:pageBreakBefore w:val="0"/>
        <w:numPr>
          <w:ilvl w:val="0"/>
          <w:numId w:val="4"/>
        </w:numPr>
        <w:kinsoku/>
        <w:overflowPunct/>
        <w:topLinePunct w:val="0"/>
        <w:autoSpaceDE/>
        <w:autoSpaceDN/>
        <w:bidi w:val="0"/>
        <w:adjustRightInd/>
        <w:snapToGrid/>
        <w:spacing w:line="580" w:lineRule="exact"/>
        <w:ind w:firstLine="640" w:firstLineChars="200"/>
        <w:jc w:val="left"/>
        <w:textAlignment w:val="auto"/>
        <w:rPr>
          <w:rFonts w:ascii="仿宋" w:hAnsi="仿宋" w:eastAsia="仿宋" w:cs="仿宋"/>
          <w:color w:val="auto"/>
          <w:sz w:val="32"/>
          <w:szCs w:val="32"/>
        </w:rPr>
      </w:pPr>
      <w:r>
        <w:rPr>
          <w:rFonts w:hint="eastAsia" w:ascii="仿宋" w:hAnsi="仿宋" w:eastAsia="仿宋" w:cs="仿宋"/>
          <w:color w:val="auto"/>
          <w:sz w:val="32"/>
          <w:szCs w:val="32"/>
        </w:rPr>
        <w:t>申报材料。</w:t>
      </w:r>
    </w:p>
    <w:p w14:paraId="3A001337">
      <w:pPr>
        <w:keepNext w:val="0"/>
        <w:keepLines w:val="0"/>
        <w:pageBreakBefore w:val="0"/>
        <w:kinsoku/>
        <w:overflowPunct/>
        <w:topLinePunct w:val="0"/>
        <w:autoSpaceDE/>
        <w:autoSpaceDN/>
        <w:bidi w:val="0"/>
        <w:adjustRightInd/>
        <w:snapToGrid/>
        <w:spacing w:line="580" w:lineRule="exact"/>
        <w:ind w:firstLine="640" w:firstLineChars="200"/>
        <w:textAlignment w:val="auto"/>
        <w:rPr>
          <w:rFonts w:ascii="仿宋" w:hAnsi="仿宋" w:eastAsia="仿宋" w:cs="仿宋"/>
          <w:color w:val="auto"/>
          <w:sz w:val="32"/>
          <w:szCs w:val="32"/>
        </w:rPr>
      </w:pPr>
      <w:r>
        <w:rPr>
          <w:rFonts w:hint="eastAsia" w:ascii="仿宋" w:hAnsi="仿宋" w:eastAsia="仿宋" w:cs="仿宋"/>
          <w:color w:val="auto"/>
          <w:sz w:val="32"/>
          <w:szCs w:val="32"/>
          <w:lang w:eastAsia="zh-CN"/>
        </w:rPr>
        <w:t>（一）</w:t>
      </w:r>
      <w:r>
        <w:rPr>
          <w:rFonts w:hint="eastAsia" w:ascii="仿宋" w:hAnsi="仿宋" w:eastAsia="仿宋" w:cs="仿宋"/>
          <w:bCs/>
          <w:color w:val="auto"/>
          <w:sz w:val="32"/>
          <w:szCs w:val="32"/>
        </w:rPr>
        <w:t>加载统一社会信用代码的单位营业执照；申请产业化奖励的，应提供药品/医疗器械生产许可证。</w:t>
      </w:r>
    </w:p>
    <w:p w14:paraId="3D2F9E55">
      <w:pPr>
        <w:keepNext w:val="0"/>
        <w:keepLines w:val="0"/>
        <w:pageBreakBefore w:val="0"/>
        <w:kinsoku/>
        <w:overflowPunct/>
        <w:topLinePunct w:val="0"/>
        <w:autoSpaceDE/>
        <w:autoSpaceDN/>
        <w:bidi w:val="0"/>
        <w:adjustRightInd/>
        <w:snapToGrid/>
        <w:spacing w:line="580" w:lineRule="exact"/>
        <w:ind w:firstLine="640" w:firstLineChars="200"/>
        <w:textAlignment w:val="auto"/>
        <w:rPr>
          <w:rFonts w:ascii="仿宋" w:hAnsi="仿宋" w:eastAsia="仿宋" w:cs="仿宋"/>
          <w:color w:val="auto"/>
          <w:sz w:val="32"/>
          <w:szCs w:val="32"/>
        </w:rPr>
      </w:pPr>
      <w:r>
        <w:rPr>
          <w:rFonts w:hint="eastAsia" w:ascii="仿宋" w:hAnsi="仿宋" w:eastAsia="仿宋" w:cs="仿宋"/>
          <w:color w:val="auto"/>
          <w:sz w:val="32"/>
          <w:szCs w:val="32"/>
          <w:lang w:eastAsia="zh-CN"/>
        </w:rPr>
        <w:t>（二）</w:t>
      </w:r>
      <w:r>
        <w:rPr>
          <w:rFonts w:hint="eastAsia" w:ascii="仿宋" w:hAnsi="仿宋" w:eastAsia="仿宋" w:cs="仿宋"/>
          <w:color w:val="auto"/>
          <w:sz w:val="32"/>
          <w:szCs w:val="32"/>
        </w:rPr>
        <w:t>临床研究批件和临床研究阶段总结报告；药品注册证书、医疗器械注册证书等。</w:t>
      </w:r>
    </w:p>
    <w:p w14:paraId="61648319">
      <w:pPr>
        <w:keepNext w:val="0"/>
        <w:keepLines w:val="0"/>
        <w:pageBreakBefore w:val="0"/>
        <w:kinsoku/>
        <w:overflowPunct/>
        <w:topLinePunct w:val="0"/>
        <w:autoSpaceDE/>
        <w:autoSpaceDN/>
        <w:bidi w:val="0"/>
        <w:adjustRightInd/>
        <w:snapToGrid/>
        <w:spacing w:line="580" w:lineRule="exact"/>
        <w:ind w:firstLine="640" w:firstLineChars="200"/>
        <w:textAlignment w:val="auto"/>
        <w:rPr>
          <w:rFonts w:ascii="仿宋" w:hAnsi="仿宋" w:eastAsia="仿宋" w:cs="仿宋"/>
          <w:bCs/>
          <w:color w:val="auto"/>
          <w:sz w:val="32"/>
          <w:szCs w:val="32"/>
        </w:rPr>
      </w:pPr>
      <w:r>
        <w:rPr>
          <w:rFonts w:hint="eastAsia" w:ascii="仿宋" w:hAnsi="仿宋" w:eastAsia="仿宋" w:cs="仿宋"/>
          <w:color w:val="auto"/>
          <w:sz w:val="32"/>
          <w:szCs w:val="32"/>
          <w:lang w:eastAsia="zh-CN"/>
        </w:rPr>
        <w:t>（三）</w:t>
      </w:r>
      <w:r>
        <w:rPr>
          <w:rFonts w:hint="eastAsia" w:ascii="仿宋" w:hAnsi="仿宋" w:eastAsia="仿宋" w:cs="仿宋"/>
          <w:bCs/>
          <w:color w:val="auto"/>
          <w:sz w:val="32"/>
          <w:szCs w:val="32"/>
        </w:rPr>
        <w:t>研发奖励阶段需提供会计事务所出具的对申报</w:t>
      </w:r>
      <w:r>
        <w:rPr>
          <w:rFonts w:hint="eastAsia" w:ascii="仿宋" w:hAnsi="仿宋" w:eastAsia="仿宋" w:cs="仿宋"/>
          <w:color w:val="auto"/>
          <w:sz w:val="32"/>
          <w:szCs w:val="32"/>
        </w:rPr>
        <w:t>新药品种</w:t>
      </w:r>
      <w:r>
        <w:rPr>
          <w:rFonts w:hint="eastAsia" w:ascii="仿宋" w:hAnsi="仿宋" w:eastAsia="仿宋" w:cs="仿宋"/>
          <w:bCs/>
          <w:color w:val="auto"/>
          <w:sz w:val="32"/>
          <w:szCs w:val="32"/>
        </w:rPr>
        <w:t>的研发费用专项审计报告。</w:t>
      </w:r>
    </w:p>
    <w:p w14:paraId="28B51027">
      <w:pPr>
        <w:keepNext w:val="0"/>
        <w:keepLines w:val="0"/>
        <w:pageBreakBefore w:val="0"/>
        <w:kinsoku/>
        <w:overflowPunct/>
        <w:topLinePunct w:val="0"/>
        <w:autoSpaceDE/>
        <w:autoSpaceDN/>
        <w:bidi w:val="0"/>
        <w:adjustRightInd/>
        <w:snapToGrid/>
        <w:spacing w:line="580" w:lineRule="exact"/>
        <w:ind w:firstLine="640" w:firstLineChars="200"/>
        <w:textAlignment w:val="auto"/>
        <w:rPr>
          <w:rFonts w:ascii="仿宋" w:hAnsi="仿宋" w:eastAsia="仿宋" w:cs="仿宋"/>
          <w:bCs/>
          <w:color w:val="auto"/>
          <w:sz w:val="32"/>
          <w:szCs w:val="32"/>
        </w:rPr>
      </w:pPr>
      <w:r>
        <w:rPr>
          <w:rFonts w:hint="eastAsia" w:ascii="仿宋" w:hAnsi="仿宋" w:eastAsia="仿宋" w:cs="仿宋"/>
          <w:color w:val="auto"/>
          <w:sz w:val="32"/>
          <w:szCs w:val="32"/>
          <w:lang w:eastAsia="zh-CN"/>
        </w:rPr>
        <w:t>（四）</w:t>
      </w:r>
      <w:r>
        <w:rPr>
          <w:rFonts w:hint="eastAsia" w:ascii="仿宋" w:hAnsi="仿宋" w:eastAsia="仿宋" w:cs="仿宋"/>
          <w:color w:val="auto"/>
          <w:sz w:val="32"/>
          <w:szCs w:val="32"/>
          <w:lang w:val="en-US" w:eastAsia="zh-CN"/>
        </w:rPr>
        <w:t>产业化阶段申报落地奖励，需提供申报药品/医疗器械单品种生产线所属项目竣工验收有关佐证材料；会计事务所出具的项目专项审计报告。</w:t>
      </w:r>
    </w:p>
    <w:p w14:paraId="3C786138">
      <w:pPr>
        <w:keepNext w:val="0"/>
        <w:keepLines w:val="0"/>
        <w:pageBreakBefore w:val="0"/>
        <w:kinsoku/>
        <w:overflowPunct/>
        <w:topLinePunct w:val="0"/>
        <w:autoSpaceDE/>
        <w:autoSpaceDN/>
        <w:bidi w:val="0"/>
        <w:adjustRightInd/>
        <w:snapToGrid/>
        <w:spacing w:line="580" w:lineRule="exact"/>
        <w:ind w:firstLine="640" w:firstLineChars="200"/>
        <w:textAlignment w:val="auto"/>
        <w:rPr>
          <w:rFonts w:ascii="仿宋" w:hAnsi="仿宋" w:eastAsia="仿宋" w:cs="仿宋"/>
          <w:bCs/>
          <w:color w:val="auto"/>
          <w:sz w:val="32"/>
          <w:szCs w:val="32"/>
        </w:rPr>
      </w:pPr>
      <w:r>
        <w:rPr>
          <w:rFonts w:hint="eastAsia" w:ascii="仿宋" w:hAnsi="仿宋" w:eastAsia="仿宋" w:cs="仿宋"/>
          <w:bCs/>
          <w:color w:val="auto"/>
          <w:sz w:val="32"/>
          <w:szCs w:val="32"/>
          <w:lang w:eastAsia="zh-CN"/>
        </w:rPr>
        <w:t>（五）</w:t>
      </w:r>
      <w:r>
        <w:rPr>
          <w:rFonts w:hint="eastAsia" w:ascii="仿宋" w:hAnsi="仿宋" w:eastAsia="仿宋" w:cs="仿宋"/>
          <w:color w:val="auto"/>
          <w:sz w:val="32"/>
          <w:szCs w:val="32"/>
        </w:rPr>
        <w:t>在“信用中国”网站上下载的企业信用信息概览</w:t>
      </w:r>
      <w:r>
        <w:rPr>
          <w:rFonts w:hint="eastAsia" w:ascii="仿宋" w:hAnsi="仿宋" w:eastAsia="仿宋" w:cs="仿宋"/>
          <w:bCs/>
          <w:color w:val="auto"/>
          <w:sz w:val="32"/>
          <w:szCs w:val="32"/>
        </w:rPr>
        <w:t>。</w:t>
      </w:r>
    </w:p>
    <w:p w14:paraId="2F7939C4">
      <w:pPr>
        <w:keepNext w:val="0"/>
        <w:keepLines w:val="0"/>
        <w:pageBreakBefore w:val="0"/>
        <w:kinsoku/>
        <w:overflowPunct/>
        <w:topLinePunct w:val="0"/>
        <w:autoSpaceDE/>
        <w:autoSpaceDN/>
        <w:bidi w:val="0"/>
        <w:adjustRightInd/>
        <w:snapToGrid/>
        <w:spacing w:line="580" w:lineRule="exact"/>
        <w:ind w:firstLine="640" w:firstLineChars="200"/>
        <w:textAlignment w:val="auto"/>
        <w:rPr>
          <w:rFonts w:ascii="仿宋" w:hAnsi="仿宋" w:eastAsia="仿宋" w:cs="仿宋"/>
          <w:bCs/>
          <w:color w:val="auto"/>
          <w:sz w:val="32"/>
          <w:szCs w:val="32"/>
        </w:rPr>
      </w:pPr>
      <w:r>
        <w:rPr>
          <w:rFonts w:hint="eastAsia" w:ascii="仿宋" w:hAnsi="仿宋" w:eastAsia="仿宋" w:cs="仿宋"/>
          <w:bCs/>
          <w:color w:val="auto"/>
          <w:sz w:val="32"/>
          <w:szCs w:val="32"/>
          <w:lang w:eastAsia="zh-CN"/>
        </w:rPr>
        <w:t>（六）</w:t>
      </w:r>
      <w:r>
        <w:rPr>
          <w:rFonts w:hint="eastAsia" w:ascii="仿宋" w:hAnsi="仿宋" w:eastAsia="仿宋" w:cs="仿宋"/>
          <w:bCs/>
          <w:color w:val="auto"/>
          <w:sz w:val="32"/>
          <w:szCs w:val="32"/>
        </w:rPr>
        <w:t>项目单位对材料真实性声明及承诺书</w:t>
      </w:r>
      <w:r>
        <w:rPr>
          <w:rFonts w:hint="eastAsia" w:ascii="仿宋" w:hAnsi="仿宋" w:eastAsia="仿宋" w:cs="仿宋"/>
          <w:color w:val="auto"/>
          <w:sz w:val="32"/>
          <w:szCs w:val="32"/>
        </w:rPr>
        <w:t>（法定代表人签字、盖章）</w:t>
      </w:r>
      <w:r>
        <w:rPr>
          <w:rFonts w:hint="eastAsia" w:ascii="仿宋" w:hAnsi="仿宋" w:eastAsia="仿宋" w:cs="仿宋"/>
          <w:bCs/>
          <w:color w:val="auto"/>
          <w:sz w:val="32"/>
          <w:szCs w:val="32"/>
        </w:rPr>
        <w:t>。</w:t>
      </w:r>
    </w:p>
    <w:p w14:paraId="7835405D">
      <w:pPr>
        <w:keepNext w:val="0"/>
        <w:keepLines w:val="0"/>
        <w:pageBreakBefore w:val="0"/>
        <w:numPr>
          <w:ilvl w:val="0"/>
          <w:numId w:val="4"/>
        </w:numPr>
        <w:kinsoku/>
        <w:overflowPunct/>
        <w:topLinePunct w:val="0"/>
        <w:autoSpaceDE/>
        <w:autoSpaceDN/>
        <w:bidi w:val="0"/>
        <w:adjustRightInd/>
        <w:snapToGrid/>
        <w:spacing w:line="580" w:lineRule="exact"/>
        <w:ind w:firstLine="640" w:firstLineChars="200"/>
        <w:jc w:val="left"/>
        <w:textAlignment w:val="auto"/>
        <w:rPr>
          <w:rFonts w:ascii="黑体" w:hAnsi="黑体" w:eastAsia="黑体" w:cs="黑体"/>
          <w:color w:val="auto"/>
          <w:sz w:val="32"/>
          <w:szCs w:val="32"/>
        </w:rPr>
      </w:pPr>
      <w:r>
        <w:rPr>
          <w:rFonts w:hint="eastAsia" w:ascii="仿宋" w:hAnsi="仿宋" w:eastAsia="仿宋" w:cs="仿宋"/>
          <w:color w:val="auto"/>
          <w:sz w:val="32"/>
          <w:szCs w:val="32"/>
        </w:rPr>
        <w:t>市发展改革委</w:t>
      </w:r>
      <w:r>
        <w:rPr>
          <w:rFonts w:hint="eastAsia" w:ascii="仿宋" w:hAnsi="仿宋" w:eastAsia="仿宋" w:cs="仿宋"/>
          <w:color w:val="auto"/>
          <w:sz w:val="32"/>
          <w:szCs w:val="32"/>
          <w:lang w:eastAsia="zh-CN"/>
        </w:rPr>
        <w:t>会同</w:t>
      </w:r>
      <w:r>
        <w:rPr>
          <w:rFonts w:hint="eastAsia" w:ascii="仿宋" w:hAnsi="仿宋" w:eastAsia="仿宋" w:cs="仿宋"/>
          <w:color w:val="auto"/>
          <w:sz w:val="32"/>
          <w:szCs w:val="32"/>
        </w:rPr>
        <w:t>市市场监督管理局组织专家或委托第三方机构，对企业申报材料进行评审，提出奖励意见，在本部门网站公示5天。</w:t>
      </w:r>
    </w:p>
    <w:p w14:paraId="48910D48">
      <w:pPr>
        <w:keepNext w:val="0"/>
        <w:keepLines w:val="0"/>
        <w:pageBreakBefore w:val="0"/>
        <w:numPr>
          <w:ilvl w:val="0"/>
          <w:numId w:val="3"/>
        </w:numPr>
        <w:kinsoku/>
        <w:overflowPunct/>
        <w:topLinePunct w:val="0"/>
        <w:autoSpaceDE/>
        <w:autoSpaceDN/>
        <w:bidi w:val="0"/>
        <w:adjustRightInd/>
        <w:snapToGrid/>
        <w:spacing w:line="580" w:lineRule="exact"/>
        <w:jc w:val="center"/>
        <w:textAlignment w:val="auto"/>
        <w:rPr>
          <w:rFonts w:ascii="黑体" w:hAnsi="黑体" w:eastAsia="黑体" w:cs="黑体"/>
          <w:color w:val="auto"/>
          <w:sz w:val="32"/>
          <w:szCs w:val="32"/>
        </w:rPr>
      </w:pPr>
      <w:r>
        <w:rPr>
          <w:rFonts w:hint="eastAsia" w:ascii="黑体" w:hAnsi="黑体" w:eastAsia="黑体" w:cs="黑体"/>
          <w:color w:val="auto"/>
          <w:sz w:val="32"/>
          <w:szCs w:val="32"/>
        </w:rPr>
        <w:t>资金拨付与绩效评价</w:t>
      </w:r>
    </w:p>
    <w:p w14:paraId="3DAE3A90">
      <w:pPr>
        <w:keepNext w:val="0"/>
        <w:keepLines w:val="0"/>
        <w:pageBreakBefore w:val="0"/>
        <w:numPr>
          <w:ilvl w:val="0"/>
          <w:numId w:val="4"/>
        </w:numPr>
        <w:kinsoku/>
        <w:overflowPunct/>
        <w:topLinePunct w:val="0"/>
        <w:autoSpaceDE/>
        <w:autoSpaceDN/>
        <w:bidi w:val="0"/>
        <w:adjustRightInd/>
        <w:snapToGrid/>
        <w:spacing w:line="580" w:lineRule="exact"/>
        <w:ind w:firstLine="640" w:firstLineChars="200"/>
        <w:jc w:val="left"/>
        <w:textAlignment w:val="auto"/>
        <w:rPr>
          <w:rFonts w:ascii="仿宋" w:hAnsi="仿宋" w:eastAsia="仿宋" w:cs="仿宋"/>
          <w:color w:val="auto"/>
          <w:sz w:val="32"/>
          <w:szCs w:val="32"/>
        </w:rPr>
      </w:pPr>
      <w:r>
        <w:rPr>
          <w:rFonts w:hint="eastAsia" w:ascii="仿宋" w:hAnsi="仿宋" w:eastAsia="仿宋" w:cs="仿宋"/>
          <w:color w:val="auto"/>
          <w:sz w:val="32"/>
          <w:szCs w:val="32"/>
        </w:rPr>
        <w:t>公示无异议的，由市发展改革委会同市市场监督管理局将奖励资金安排意见报市政府批准后，</w:t>
      </w:r>
      <w:r>
        <w:rPr>
          <w:rFonts w:hint="eastAsia" w:ascii="仿宋" w:hAnsi="仿宋" w:eastAsia="仿宋" w:cs="仿宋"/>
          <w:color w:val="auto"/>
          <w:sz w:val="32"/>
          <w:szCs w:val="32"/>
          <w:shd w:val="clear" w:color="auto" w:fill="FFFFFF"/>
        </w:rPr>
        <w:t>由</w:t>
      </w:r>
      <w:r>
        <w:rPr>
          <w:rFonts w:hint="eastAsia" w:ascii="仿宋" w:hAnsi="仿宋" w:eastAsia="仿宋" w:cs="仿宋"/>
          <w:color w:val="auto"/>
          <w:sz w:val="32"/>
          <w:szCs w:val="32"/>
        </w:rPr>
        <w:t>市财政局按程序拨付奖励资金。</w:t>
      </w:r>
    </w:p>
    <w:p w14:paraId="229600CC">
      <w:pPr>
        <w:keepNext w:val="0"/>
        <w:keepLines w:val="0"/>
        <w:pageBreakBefore w:val="0"/>
        <w:widowControl/>
        <w:numPr>
          <w:ilvl w:val="0"/>
          <w:numId w:val="4"/>
        </w:numPr>
        <w:kinsoku/>
        <w:overflowPunct/>
        <w:topLinePunct w:val="0"/>
        <w:autoSpaceDE/>
        <w:autoSpaceDN/>
        <w:bidi w:val="0"/>
        <w:adjustRightInd/>
        <w:snapToGrid/>
        <w:spacing w:line="580" w:lineRule="exact"/>
        <w:ind w:firstLine="640" w:firstLineChars="200"/>
        <w:jc w:val="left"/>
        <w:textAlignment w:val="auto"/>
        <w:rPr>
          <w:rFonts w:ascii="仿宋" w:hAnsi="仿宋" w:eastAsia="仿宋" w:cs="仿宋"/>
          <w:color w:val="auto"/>
          <w:sz w:val="32"/>
          <w:szCs w:val="32"/>
        </w:rPr>
      </w:pPr>
      <w:r>
        <w:rPr>
          <w:rFonts w:hint="eastAsia" w:ascii="仿宋" w:hAnsi="仿宋" w:eastAsia="仿宋" w:cs="仿宋"/>
          <w:color w:val="auto"/>
          <w:sz w:val="32"/>
          <w:szCs w:val="32"/>
        </w:rPr>
        <w:t>按属地管理原则，专项资金绩效目标与预算同步设定、同步审核、同步下达，加强对专项资金绩效目标实现程度和预算执行进度的“双监控”。市发展改革委对奖补资金情况进行绩效自评，并向市财政部门报送绩效自评。市财政部门适时对专项资金实施重点绩效评价，评价结果将作为预算安排的重要依据。</w:t>
      </w:r>
    </w:p>
    <w:p w14:paraId="303F6B6E">
      <w:pPr>
        <w:keepNext w:val="0"/>
        <w:keepLines w:val="0"/>
        <w:pageBreakBefore w:val="0"/>
        <w:numPr>
          <w:ilvl w:val="0"/>
          <w:numId w:val="4"/>
        </w:numPr>
        <w:kinsoku/>
        <w:overflowPunct/>
        <w:topLinePunct w:val="0"/>
        <w:autoSpaceDE/>
        <w:autoSpaceDN/>
        <w:bidi w:val="0"/>
        <w:adjustRightInd/>
        <w:snapToGrid/>
        <w:spacing w:line="580" w:lineRule="exact"/>
        <w:ind w:firstLine="640" w:firstLineChars="200"/>
        <w:jc w:val="left"/>
        <w:textAlignment w:val="auto"/>
        <w:rPr>
          <w:rFonts w:ascii="仿宋" w:hAnsi="仿宋" w:eastAsia="仿宋" w:cs="仿宋"/>
          <w:color w:val="auto"/>
          <w:sz w:val="32"/>
          <w:szCs w:val="32"/>
        </w:rPr>
      </w:pPr>
      <w:r>
        <w:rPr>
          <w:rFonts w:hint="eastAsia" w:ascii="仿宋" w:hAnsi="仿宋" w:eastAsia="仿宋" w:cs="仿宋"/>
          <w:color w:val="auto"/>
          <w:sz w:val="32"/>
          <w:szCs w:val="32"/>
        </w:rPr>
        <w:t>对在申报过程中存在弄虚作假行为的，一经查实将取消申报单位资格，收回奖励资金，3年内取消申报资格</w:t>
      </w:r>
      <w:r>
        <w:rPr>
          <w:rFonts w:hint="eastAsia" w:ascii="仿宋" w:hAnsi="仿宋" w:eastAsia="仿宋" w:cs="仿宋"/>
          <w:color w:val="auto"/>
          <w:sz w:val="32"/>
          <w:szCs w:val="32"/>
          <w:lang w:eastAsia="zh-CN"/>
        </w:rPr>
        <w:t>，并依法依规进行处罚</w:t>
      </w:r>
      <w:r>
        <w:rPr>
          <w:rFonts w:hint="eastAsia" w:ascii="仿宋" w:hAnsi="仿宋" w:eastAsia="仿宋" w:cs="仿宋"/>
          <w:color w:val="auto"/>
          <w:sz w:val="32"/>
          <w:szCs w:val="32"/>
        </w:rPr>
        <w:t>。</w:t>
      </w:r>
    </w:p>
    <w:p w14:paraId="4D528E29">
      <w:pPr>
        <w:keepNext w:val="0"/>
        <w:keepLines w:val="0"/>
        <w:pageBreakBefore w:val="0"/>
        <w:numPr>
          <w:ilvl w:val="0"/>
          <w:numId w:val="3"/>
        </w:numPr>
        <w:kinsoku/>
        <w:overflowPunct/>
        <w:topLinePunct w:val="0"/>
        <w:autoSpaceDE/>
        <w:autoSpaceDN/>
        <w:bidi w:val="0"/>
        <w:adjustRightInd/>
        <w:snapToGrid/>
        <w:spacing w:line="580" w:lineRule="exact"/>
        <w:jc w:val="center"/>
        <w:textAlignment w:val="auto"/>
        <w:rPr>
          <w:rFonts w:ascii="黑体" w:hAnsi="黑体" w:eastAsia="黑体" w:cs="黑体"/>
          <w:color w:val="auto"/>
          <w:sz w:val="32"/>
          <w:szCs w:val="32"/>
        </w:rPr>
      </w:pPr>
      <w:r>
        <w:rPr>
          <w:rFonts w:hint="eastAsia" w:ascii="黑体" w:hAnsi="黑体" w:eastAsia="黑体" w:cs="黑体"/>
          <w:color w:val="auto"/>
          <w:sz w:val="32"/>
          <w:szCs w:val="32"/>
        </w:rPr>
        <w:t>附则</w:t>
      </w:r>
    </w:p>
    <w:p w14:paraId="53BF1F7B">
      <w:pPr>
        <w:keepNext w:val="0"/>
        <w:keepLines w:val="0"/>
        <w:pageBreakBefore w:val="0"/>
        <w:numPr>
          <w:ilvl w:val="0"/>
          <w:numId w:val="4"/>
        </w:numPr>
        <w:kinsoku/>
        <w:overflowPunct/>
        <w:topLinePunct w:val="0"/>
        <w:autoSpaceDE/>
        <w:autoSpaceDN/>
        <w:bidi w:val="0"/>
        <w:adjustRightInd/>
        <w:snapToGrid/>
        <w:spacing w:line="580" w:lineRule="exact"/>
        <w:ind w:firstLine="640" w:firstLineChars="200"/>
        <w:jc w:val="left"/>
        <w:textAlignment w:val="auto"/>
        <w:rPr>
          <w:rFonts w:ascii="仿宋" w:hAnsi="仿宋" w:eastAsia="仿宋" w:cs="仿宋"/>
          <w:color w:val="auto"/>
          <w:sz w:val="32"/>
          <w:szCs w:val="32"/>
        </w:rPr>
      </w:pPr>
      <w:r>
        <w:rPr>
          <w:rFonts w:hint="eastAsia" w:ascii="仿宋" w:hAnsi="仿宋" w:eastAsia="仿宋" w:cs="仿宋"/>
          <w:color w:val="auto"/>
          <w:sz w:val="32"/>
          <w:szCs w:val="32"/>
        </w:rPr>
        <w:t>本细则由市发展改革委、市市场监督管理局负责执行，自印发之日起实施。</w:t>
      </w:r>
    </w:p>
    <w:p w14:paraId="09C2449F">
      <w:pPr>
        <w:keepNext w:val="0"/>
        <w:keepLines w:val="0"/>
        <w:pageBreakBefore w:val="0"/>
        <w:numPr>
          <w:ilvl w:val="0"/>
          <w:numId w:val="5"/>
        </w:numPr>
        <w:kinsoku/>
        <w:overflowPunct/>
        <w:topLinePunct w:val="0"/>
        <w:autoSpaceDE/>
        <w:autoSpaceDN/>
        <w:bidi w:val="0"/>
        <w:adjustRightInd/>
        <w:snapToGrid/>
        <w:spacing w:line="580" w:lineRule="exact"/>
        <w:jc w:val="left"/>
        <w:textAlignment w:val="auto"/>
        <w:rPr>
          <w:rFonts w:ascii="黑体" w:hAnsi="黑体" w:eastAsia="黑体" w:cs="黑体"/>
          <w:color w:val="auto"/>
          <w:sz w:val="28"/>
          <w:szCs w:val="28"/>
        </w:rPr>
      </w:pPr>
      <w:r>
        <w:rPr>
          <w:rFonts w:hint="eastAsia" w:ascii="黑体" w:hAnsi="黑体" w:eastAsia="黑体" w:cs="黑体"/>
          <w:color w:val="auto"/>
          <w:sz w:val="36"/>
          <w:szCs w:val="36"/>
        </w:rPr>
        <w:br w:type="page"/>
      </w:r>
    </w:p>
    <w:p w14:paraId="16F417F6">
      <w:pPr>
        <w:pStyle w:val="4"/>
        <w:keepNext w:val="0"/>
        <w:keepLines w:val="0"/>
        <w:pageBreakBefore w:val="0"/>
        <w:kinsoku/>
        <w:overflowPunct/>
        <w:topLinePunct w:val="0"/>
        <w:autoSpaceDE/>
        <w:autoSpaceDN/>
        <w:bidi w:val="0"/>
        <w:adjustRightInd/>
        <w:snapToGrid/>
        <w:spacing w:line="580" w:lineRule="exact"/>
        <w:textAlignment w:val="auto"/>
        <w:rPr>
          <w:rFonts w:hint="default" w:ascii="黑体" w:hAnsi="黑体" w:eastAsia="黑体" w:cs="黑体"/>
          <w:sz w:val="32"/>
          <w:szCs w:val="32"/>
          <w:lang w:val="en-US" w:eastAsia="zh-CN"/>
        </w:rPr>
      </w:pPr>
      <w:bookmarkStart w:id="4" w:name="_Toc16355"/>
      <w:r>
        <w:rPr>
          <w:rFonts w:hint="eastAsia" w:ascii="黑体" w:hAnsi="黑体" w:eastAsia="黑体" w:cs="黑体"/>
          <w:color w:val="auto"/>
          <w:sz w:val="32"/>
          <w:szCs w:val="32"/>
          <w:lang w:val="en-US" w:eastAsia="zh-CN"/>
        </w:rPr>
        <w:t>附件4</w:t>
      </w:r>
    </w:p>
    <w:bookmarkEnd w:id="4"/>
    <w:p w14:paraId="0C2251F0">
      <w:pPr>
        <w:keepNext w:val="0"/>
        <w:keepLines w:val="0"/>
        <w:pageBreakBefore w:val="0"/>
        <w:kinsoku/>
        <w:overflowPunct/>
        <w:topLinePunct w:val="0"/>
        <w:autoSpaceDE/>
        <w:autoSpaceDN/>
        <w:bidi w:val="0"/>
        <w:adjustRightInd/>
        <w:snapToGrid/>
        <w:spacing w:line="580" w:lineRule="exact"/>
        <w:textAlignment w:val="auto"/>
        <w:rPr>
          <w:rFonts w:hint="eastAsia"/>
          <w:lang w:eastAsia="zh-CN"/>
        </w:rPr>
      </w:pPr>
    </w:p>
    <w:p w14:paraId="3E26972F">
      <w:pPr>
        <w:keepNext w:val="0"/>
        <w:keepLines w:val="0"/>
        <w:pageBreakBefore w:val="0"/>
        <w:kinsoku/>
        <w:overflowPunct/>
        <w:topLinePunct w:val="0"/>
        <w:autoSpaceDE/>
        <w:autoSpaceDN/>
        <w:bidi w:val="0"/>
        <w:adjustRightInd/>
        <w:snapToGrid/>
        <w:spacing w:line="580" w:lineRule="exact"/>
        <w:jc w:val="center"/>
        <w:textAlignment w:val="auto"/>
        <w:outlineLvl w:val="0"/>
        <w:rPr>
          <w:rFonts w:ascii="宋体" w:hAnsi="宋体" w:cs="宋体"/>
          <w:b/>
          <w:bCs/>
          <w:color w:val="auto"/>
          <w:sz w:val="44"/>
          <w:szCs w:val="44"/>
        </w:rPr>
      </w:pPr>
      <w:bookmarkStart w:id="5" w:name="_Toc20044"/>
      <w:r>
        <w:rPr>
          <w:rFonts w:hint="eastAsia" w:ascii="方正小标宋简体" w:hAnsi="方正小标宋简体" w:eastAsia="方正小标宋简体" w:cs="方正小标宋简体"/>
          <w:b w:val="0"/>
          <w:bCs w:val="0"/>
          <w:color w:val="auto"/>
          <w:sz w:val="44"/>
          <w:szCs w:val="44"/>
        </w:rPr>
        <w:t>新一代电子信息产业化奖励实施细则</w:t>
      </w:r>
      <w:bookmarkEnd w:id="5"/>
    </w:p>
    <w:p w14:paraId="1DFD7720">
      <w:pPr>
        <w:keepNext w:val="0"/>
        <w:keepLines w:val="0"/>
        <w:pageBreakBefore w:val="0"/>
        <w:kinsoku/>
        <w:overflowPunct/>
        <w:topLinePunct w:val="0"/>
        <w:autoSpaceDE/>
        <w:autoSpaceDN/>
        <w:bidi w:val="0"/>
        <w:adjustRightInd/>
        <w:snapToGrid/>
        <w:spacing w:line="580" w:lineRule="exact"/>
        <w:jc w:val="center"/>
        <w:textAlignment w:val="auto"/>
        <w:rPr>
          <w:color w:val="auto"/>
          <w:sz w:val="32"/>
          <w:szCs w:val="32"/>
        </w:rPr>
      </w:pPr>
      <w:r>
        <w:rPr>
          <w:rFonts w:hint="eastAsia" w:ascii="方正仿宋_GBK" w:hAnsi="方正仿宋_GBK" w:eastAsia="方正仿宋_GBK" w:cs="方正仿宋_GBK"/>
          <w:sz w:val="32"/>
          <w:szCs w:val="32"/>
          <w:lang w:eastAsia="zh-CN"/>
        </w:rPr>
        <w:t>（征求意见稿）</w:t>
      </w:r>
    </w:p>
    <w:p w14:paraId="53DD66AE">
      <w:pPr>
        <w:keepNext w:val="0"/>
        <w:keepLines w:val="0"/>
        <w:pageBreakBefore w:val="0"/>
        <w:numPr>
          <w:ilvl w:val="0"/>
          <w:numId w:val="6"/>
        </w:numPr>
        <w:kinsoku/>
        <w:wordWrap/>
        <w:overflowPunct/>
        <w:topLinePunct w:val="0"/>
        <w:autoSpaceDE/>
        <w:autoSpaceDN/>
        <w:bidi w:val="0"/>
        <w:adjustRightInd/>
        <w:snapToGrid/>
        <w:spacing w:line="580" w:lineRule="exact"/>
        <w:ind w:left="0" w:leftChars="0" w:right="0" w:rightChars="0"/>
        <w:jc w:val="center"/>
        <w:textAlignment w:val="auto"/>
        <w:outlineLvl w:val="9"/>
        <w:rPr>
          <w:rFonts w:ascii="黑体" w:hAnsi="黑体" w:eastAsia="黑体" w:cs="黑体"/>
          <w:color w:val="auto"/>
          <w:sz w:val="32"/>
          <w:szCs w:val="32"/>
        </w:rPr>
      </w:pPr>
      <w:r>
        <w:rPr>
          <w:rFonts w:hint="eastAsia" w:ascii="黑体" w:hAnsi="黑体" w:eastAsia="黑体" w:cs="黑体"/>
          <w:color w:val="auto"/>
          <w:sz w:val="32"/>
          <w:szCs w:val="32"/>
        </w:rPr>
        <w:t>总则</w:t>
      </w:r>
    </w:p>
    <w:p w14:paraId="7F6AD2EE">
      <w:pPr>
        <w:keepNext w:val="0"/>
        <w:keepLines w:val="0"/>
        <w:pageBreakBefore w:val="0"/>
        <w:numPr>
          <w:ilvl w:val="0"/>
          <w:numId w:val="7"/>
        </w:numPr>
        <w:kinsoku/>
        <w:wordWrap/>
        <w:overflowPunct/>
        <w:topLinePunct w:val="0"/>
        <w:autoSpaceDE/>
        <w:autoSpaceDN/>
        <w:bidi w:val="0"/>
        <w:adjustRightInd/>
        <w:snapToGrid/>
        <w:spacing w:line="580" w:lineRule="exact"/>
        <w:ind w:left="0" w:leftChars="0" w:right="0" w:rightChars="0" w:firstLine="640" w:firstLineChars="200"/>
        <w:textAlignment w:val="auto"/>
        <w:outlineLvl w:val="9"/>
        <w:rPr>
          <w:rFonts w:ascii="仿宋" w:hAnsi="仿宋" w:eastAsia="仿宋" w:cs="仿宋"/>
          <w:color w:val="auto"/>
          <w:sz w:val="32"/>
          <w:szCs w:val="32"/>
        </w:rPr>
      </w:pPr>
      <w:r>
        <w:rPr>
          <w:rFonts w:hint="eastAsia" w:ascii="仿宋" w:hAnsi="仿宋" w:eastAsia="仿宋" w:cs="仿宋"/>
          <w:color w:val="auto"/>
          <w:sz w:val="32"/>
          <w:szCs w:val="32"/>
        </w:rPr>
        <w:t>根据《关于支持新一代电子信息产业和生物医药产业率先突破的若干措施》有关规定，制定本细则。</w:t>
      </w:r>
    </w:p>
    <w:p w14:paraId="2C1651DC">
      <w:pPr>
        <w:keepNext w:val="0"/>
        <w:keepLines w:val="0"/>
        <w:pageBreakBefore w:val="0"/>
        <w:numPr>
          <w:ilvl w:val="0"/>
          <w:numId w:val="7"/>
        </w:numPr>
        <w:kinsoku/>
        <w:wordWrap/>
        <w:overflowPunct/>
        <w:topLinePunct w:val="0"/>
        <w:autoSpaceDE/>
        <w:autoSpaceDN/>
        <w:bidi w:val="0"/>
        <w:adjustRightInd/>
        <w:snapToGrid/>
        <w:spacing w:line="580" w:lineRule="exact"/>
        <w:ind w:left="0" w:leftChars="0" w:right="0" w:rightChars="0" w:firstLine="640" w:firstLineChars="200"/>
        <w:textAlignment w:val="auto"/>
        <w:outlineLvl w:val="9"/>
        <w:rPr>
          <w:rFonts w:ascii="仿宋" w:hAnsi="仿宋" w:eastAsia="仿宋" w:cs="仿宋"/>
          <w:color w:val="auto"/>
          <w:sz w:val="32"/>
          <w:szCs w:val="32"/>
        </w:rPr>
      </w:pPr>
      <w:r>
        <w:rPr>
          <w:rFonts w:hint="eastAsia" w:ascii="仿宋" w:hAnsi="仿宋" w:eastAsia="仿宋" w:cs="仿宋"/>
          <w:color w:val="auto"/>
          <w:sz w:val="32"/>
          <w:szCs w:val="32"/>
          <w:lang w:eastAsia="zh-CN"/>
        </w:rPr>
        <w:t>本细则</w:t>
      </w:r>
      <w:r>
        <w:rPr>
          <w:rFonts w:hint="eastAsia" w:ascii="仿宋" w:hAnsi="仿宋" w:eastAsia="仿宋" w:cs="仿宋"/>
          <w:color w:val="auto"/>
          <w:sz w:val="32"/>
          <w:szCs w:val="32"/>
        </w:rPr>
        <w:t>采取事后奖励方式，所需资金从市主导产业专项资金中列支。</w:t>
      </w:r>
    </w:p>
    <w:p w14:paraId="3724F354">
      <w:pPr>
        <w:keepNext w:val="0"/>
        <w:keepLines w:val="0"/>
        <w:pageBreakBefore w:val="0"/>
        <w:numPr>
          <w:ilvl w:val="0"/>
          <w:numId w:val="6"/>
        </w:numPr>
        <w:kinsoku/>
        <w:wordWrap/>
        <w:overflowPunct/>
        <w:topLinePunct w:val="0"/>
        <w:autoSpaceDE/>
        <w:autoSpaceDN/>
        <w:bidi w:val="0"/>
        <w:adjustRightInd/>
        <w:snapToGrid/>
        <w:spacing w:line="580" w:lineRule="exact"/>
        <w:ind w:left="0" w:leftChars="0" w:right="0" w:rightChars="0"/>
        <w:jc w:val="center"/>
        <w:textAlignment w:val="auto"/>
        <w:outlineLvl w:val="9"/>
        <w:rPr>
          <w:rFonts w:ascii="黑体" w:hAnsi="黑体" w:eastAsia="黑体" w:cs="黑体"/>
          <w:color w:val="auto"/>
          <w:sz w:val="32"/>
          <w:szCs w:val="32"/>
        </w:rPr>
      </w:pPr>
      <w:r>
        <w:rPr>
          <w:rFonts w:hint="eastAsia" w:ascii="黑体" w:hAnsi="黑体" w:eastAsia="黑体" w:cs="黑体"/>
          <w:color w:val="auto"/>
          <w:sz w:val="32"/>
          <w:szCs w:val="32"/>
        </w:rPr>
        <w:t>基本条件及奖励标准</w:t>
      </w:r>
    </w:p>
    <w:p w14:paraId="5C319F8F">
      <w:pPr>
        <w:keepNext w:val="0"/>
        <w:keepLines w:val="0"/>
        <w:pageBreakBefore w:val="0"/>
        <w:numPr>
          <w:ilvl w:val="0"/>
          <w:numId w:val="7"/>
        </w:numPr>
        <w:kinsoku/>
        <w:wordWrap/>
        <w:overflowPunct/>
        <w:topLinePunct w:val="0"/>
        <w:autoSpaceDE/>
        <w:autoSpaceDN/>
        <w:bidi w:val="0"/>
        <w:adjustRightInd/>
        <w:snapToGrid/>
        <w:spacing w:line="580" w:lineRule="exact"/>
        <w:ind w:left="0" w:leftChars="0" w:right="0" w:rightChars="0" w:firstLine="640" w:firstLineChars="200"/>
        <w:textAlignment w:val="auto"/>
        <w:outlineLvl w:val="9"/>
        <w:rPr>
          <w:rFonts w:ascii="仿宋" w:hAnsi="仿宋" w:eastAsia="仿宋" w:cs="仿宋"/>
          <w:color w:val="auto"/>
          <w:sz w:val="32"/>
          <w:szCs w:val="32"/>
        </w:rPr>
      </w:pPr>
      <w:r>
        <w:rPr>
          <w:rFonts w:hint="eastAsia" w:ascii="仿宋" w:hAnsi="仿宋" w:eastAsia="仿宋" w:cs="仿宋"/>
          <w:color w:val="auto"/>
          <w:sz w:val="32"/>
          <w:szCs w:val="32"/>
        </w:rPr>
        <w:t>申报单位须符合下列基本条件：</w:t>
      </w:r>
    </w:p>
    <w:p w14:paraId="3E399C1A">
      <w:pPr>
        <w:pStyle w:val="12"/>
        <w:keepNext w:val="0"/>
        <w:keepLines w:val="0"/>
        <w:pageBreakBefore w:val="0"/>
        <w:widowControl/>
        <w:kinsoku/>
        <w:wordWrap/>
        <w:overflowPunct/>
        <w:topLinePunct w:val="0"/>
        <w:autoSpaceDE/>
        <w:autoSpaceDN/>
        <w:bidi w:val="0"/>
        <w:adjustRightInd/>
        <w:snapToGrid/>
        <w:spacing w:before="0" w:beforeAutospacing="0" w:after="0" w:afterAutospacing="0" w:line="580" w:lineRule="exact"/>
        <w:ind w:left="0" w:leftChars="0" w:right="0" w:rightChars="0" w:firstLine="640" w:firstLineChars="200"/>
        <w:jc w:val="both"/>
        <w:textAlignment w:val="auto"/>
        <w:outlineLvl w:val="9"/>
        <w:rPr>
          <w:rFonts w:ascii="仿宋" w:hAnsi="仿宋" w:eastAsia="仿宋" w:cs="仿宋"/>
          <w:color w:val="auto"/>
          <w:sz w:val="32"/>
          <w:szCs w:val="32"/>
          <w:shd w:val="clear" w:color="auto" w:fill="FFFFFF"/>
        </w:rPr>
      </w:pPr>
      <w:r>
        <w:rPr>
          <w:rFonts w:hint="eastAsia" w:ascii="仿宋" w:hAnsi="仿宋" w:eastAsia="仿宋" w:cs="仿宋"/>
          <w:color w:val="auto"/>
          <w:sz w:val="32"/>
          <w:szCs w:val="32"/>
          <w:shd w:val="clear" w:color="auto" w:fill="FFFFFF"/>
        </w:rPr>
        <w:t>（一）从事新一代电子信息产业研发、生产的单位。</w:t>
      </w:r>
    </w:p>
    <w:p w14:paraId="6B4077BD">
      <w:pPr>
        <w:pStyle w:val="12"/>
        <w:keepNext w:val="0"/>
        <w:keepLines w:val="0"/>
        <w:pageBreakBefore w:val="0"/>
        <w:widowControl/>
        <w:kinsoku/>
        <w:wordWrap/>
        <w:overflowPunct/>
        <w:topLinePunct w:val="0"/>
        <w:autoSpaceDE/>
        <w:autoSpaceDN/>
        <w:bidi w:val="0"/>
        <w:adjustRightInd/>
        <w:snapToGrid/>
        <w:spacing w:before="0" w:beforeAutospacing="0" w:after="0" w:afterAutospacing="0" w:line="580" w:lineRule="exact"/>
        <w:ind w:left="0" w:leftChars="0" w:right="0" w:rightChars="0" w:firstLine="640" w:firstLineChars="200"/>
        <w:jc w:val="both"/>
        <w:textAlignment w:val="auto"/>
        <w:outlineLvl w:val="9"/>
        <w:rPr>
          <w:rFonts w:ascii="仿宋" w:hAnsi="仿宋" w:eastAsia="仿宋" w:cs="仿宋"/>
          <w:color w:val="auto"/>
          <w:sz w:val="32"/>
          <w:szCs w:val="32"/>
          <w:shd w:val="clear" w:color="auto" w:fill="FFFFFF"/>
        </w:rPr>
      </w:pPr>
      <w:r>
        <w:rPr>
          <w:rFonts w:hint="eastAsia" w:ascii="仿宋" w:hAnsi="仿宋" w:eastAsia="仿宋" w:cs="仿宋"/>
          <w:color w:val="auto"/>
          <w:sz w:val="32"/>
          <w:szCs w:val="32"/>
          <w:shd w:val="clear" w:color="auto" w:fill="FFFFFF"/>
        </w:rPr>
        <w:t>（二）具备项目实施所必要的资金、技术、场地等保障条件。</w:t>
      </w:r>
    </w:p>
    <w:p w14:paraId="760CE285">
      <w:pPr>
        <w:keepNext w:val="0"/>
        <w:keepLines w:val="0"/>
        <w:pageBreakBefore w:val="0"/>
        <w:numPr>
          <w:ilvl w:val="0"/>
          <w:numId w:val="7"/>
        </w:numPr>
        <w:kinsoku/>
        <w:wordWrap/>
        <w:overflowPunct/>
        <w:topLinePunct w:val="0"/>
        <w:autoSpaceDE/>
        <w:autoSpaceDN/>
        <w:bidi w:val="0"/>
        <w:adjustRightInd/>
        <w:snapToGrid/>
        <w:spacing w:line="580" w:lineRule="exact"/>
        <w:ind w:left="0" w:leftChars="0" w:right="0" w:rightChars="0" w:firstLine="640" w:firstLineChars="200"/>
        <w:textAlignment w:val="auto"/>
        <w:outlineLvl w:val="9"/>
        <w:rPr>
          <w:rFonts w:ascii="仿宋" w:hAnsi="仿宋" w:eastAsia="仿宋" w:cs="仿宋"/>
          <w:color w:val="auto"/>
          <w:sz w:val="32"/>
          <w:szCs w:val="32"/>
        </w:rPr>
      </w:pPr>
      <w:r>
        <w:rPr>
          <w:rFonts w:hint="eastAsia" w:ascii="仿宋" w:hAnsi="仿宋" w:eastAsia="仿宋" w:cs="仿宋"/>
          <w:color w:val="auto"/>
          <w:sz w:val="32"/>
          <w:szCs w:val="32"/>
        </w:rPr>
        <w:t>申报项目应符合下列基本条件：</w:t>
      </w:r>
    </w:p>
    <w:p w14:paraId="254C0CA6">
      <w:pPr>
        <w:pStyle w:val="12"/>
        <w:keepNext w:val="0"/>
        <w:keepLines w:val="0"/>
        <w:pageBreakBefore w:val="0"/>
        <w:widowControl/>
        <w:kinsoku/>
        <w:wordWrap/>
        <w:overflowPunct/>
        <w:topLinePunct w:val="0"/>
        <w:autoSpaceDE/>
        <w:autoSpaceDN/>
        <w:bidi w:val="0"/>
        <w:adjustRightInd/>
        <w:snapToGrid/>
        <w:spacing w:before="0" w:beforeAutospacing="0" w:after="0" w:afterAutospacing="0" w:line="580" w:lineRule="exact"/>
        <w:ind w:left="0" w:leftChars="0" w:right="0" w:rightChars="0" w:firstLine="640" w:firstLineChars="200"/>
        <w:jc w:val="both"/>
        <w:textAlignment w:val="auto"/>
        <w:outlineLvl w:val="9"/>
        <w:rPr>
          <w:rFonts w:ascii="仿宋" w:hAnsi="仿宋" w:eastAsia="仿宋" w:cs="仿宋"/>
          <w:color w:val="auto"/>
          <w:sz w:val="32"/>
          <w:szCs w:val="32"/>
          <w:shd w:val="clear" w:color="auto" w:fill="FFFFFF"/>
        </w:rPr>
      </w:pPr>
      <w:r>
        <w:rPr>
          <w:rFonts w:hint="eastAsia" w:ascii="仿宋" w:hAnsi="仿宋" w:eastAsia="仿宋" w:cs="仿宋"/>
          <w:color w:val="auto"/>
          <w:sz w:val="32"/>
          <w:szCs w:val="32"/>
          <w:shd w:val="clear" w:color="auto" w:fill="FFFFFF"/>
        </w:rPr>
        <w:t>（一）项目</w:t>
      </w:r>
      <w:r>
        <w:rPr>
          <w:rFonts w:hint="eastAsia" w:ascii="仿宋_GB2312" w:hAnsi="仿宋_GB2312" w:eastAsia="仿宋_GB2312" w:cs="仿宋_GB2312"/>
          <w:color w:val="auto"/>
          <w:sz w:val="32"/>
        </w:rPr>
        <w:t>设备投资</w:t>
      </w:r>
      <w:r>
        <w:rPr>
          <w:rFonts w:hint="eastAsia" w:ascii="仿宋" w:hAnsi="仿宋" w:eastAsia="仿宋" w:cs="仿宋"/>
          <w:color w:val="auto"/>
          <w:sz w:val="32"/>
          <w:szCs w:val="32"/>
          <w:shd w:val="clear" w:color="auto" w:fill="FFFFFF"/>
        </w:rPr>
        <w:t>不低于项目总投资的40%。</w:t>
      </w:r>
    </w:p>
    <w:p w14:paraId="6823D913">
      <w:pPr>
        <w:pStyle w:val="12"/>
        <w:keepNext w:val="0"/>
        <w:keepLines w:val="0"/>
        <w:pageBreakBefore w:val="0"/>
        <w:widowControl/>
        <w:kinsoku/>
        <w:wordWrap/>
        <w:overflowPunct/>
        <w:topLinePunct w:val="0"/>
        <w:autoSpaceDE/>
        <w:autoSpaceDN/>
        <w:bidi w:val="0"/>
        <w:adjustRightInd/>
        <w:snapToGrid/>
        <w:spacing w:before="0" w:beforeAutospacing="0" w:after="0" w:afterAutospacing="0" w:line="580" w:lineRule="exact"/>
        <w:ind w:left="0" w:leftChars="0" w:right="0" w:rightChars="0" w:firstLine="640" w:firstLineChars="200"/>
        <w:jc w:val="both"/>
        <w:textAlignment w:val="auto"/>
        <w:outlineLvl w:val="9"/>
        <w:rPr>
          <w:rFonts w:ascii="仿宋" w:hAnsi="仿宋" w:eastAsia="仿宋" w:cs="仿宋"/>
          <w:color w:val="auto"/>
          <w:sz w:val="32"/>
          <w:szCs w:val="32"/>
          <w:shd w:val="clear" w:color="auto" w:fill="FFFFFF"/>
        </w:rPr>
      </w:pPr>
      <w:r>
        <w:rPr>
          <w:rFonts w:hint="eastAsia" w:ascii="仿宋" w:hAnsi="仿宋" w:eastAsia="仿宋" w:cs="仿宋"/>
          <w:color w:val="auto"/>
          <w:sz w:val="32"/>
          <w:szCs w:val="32"/>
          <w:shd w:val="clear" w:color="auto" w:fill="FFFFFF"/>
        </w:rPr>
        <w:t>（二）项目建设期原则上不超过3年。</w:t>
      </w:r>
    </w:p>
    <w:p w14:paraId="346ADD36">
      <w:pPr>
        <w:keepNext w:val="0"/>
        <w:keepLines w:val="0"/>
        <w:pageBreakBefore w:val="0"/>
        <w:numPr>
          <w:ilvl w:val="0"/>
          <w:numId w:val="7"/>
        </w:numPr>
        <w:kinsoku/>
        <w:wordWrap/>
        <w:overflowPunct/>
        <w:topLinePunct w:val="0"/>
        <w:autoSpaceDE/>
        <w:autoSpaceDN/>
        <w:bidi w:val="0"/>
        <w:adjustRightInd/>
        <w:snapToGrid/>
        <w:spacing w:line="580" w:lineRule="exact"/>
        <w:ind w:left="0" w:leftChars="0" w:right="0" w:rightChars="0" w:firstLine="640" w:firstLineChars="200"/>
        <w:textAlignment w:val="auto"/>
        <w:outlineLvl w:val="9"/>
        <w:rPr>
          <w:rFonts w:ascii="仿宋" w:hAnsi="仿宋" w:eastAsia="仿宋" w:cs="仿宋"/>
          <w:color w:val="auto"/>
          <w:sz w:val="32"/>
          <w:szCs w:val="32"/>
        </w:rPr>
      </w:pPr>
      <w:r>
        <w:rPr>
          <w:rFonts w:hint="eastAsia" w:ascii="仿宋" w:hAnsi="仿宋" w:eastAsia="仿宋" w:cs="仿宋"/>
          <w:color w:val="auto"/>
          <w:sz w:val="32"/>
          <w:szCs w:val="32"/>
          <w:lang w:eastAsia="zh-CN"/>
        </w:rPr>
        <w:t>对</w:t>
      </w:r>
      <w:r>
        <w:rPr>
          <w:rFonts w:hint="eastAsia" w:ascii="仿宋" w:hAnsi="仿宋" w:eastAsia="仿宋" w:cs="仿宋"/>
          <w:color w:val="auto"/>
          <w:sz w:val="32"/>
          <w:szCs w:val="32"/>
        </w:rPr>
        <w:t>竣工投产的</w:t>
      </w:r>
      <w:r>
        <w:rPr>
          <w:rFonts w:hint="eastAsia" w:ascii="仿宋" w:hAnsi="仿宋" w:eastAsia="仿宋" w:cs="仿宋"/>
          <w:color w:val="auto"/>
          <w:sz w:val="32"/>
          <w:szCs w:val="32"/>
          <w:lang w:eastAsia="zh-CN"/>
        </w:rPr>
        <w:t>项目</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给予最高</w:t>
      </w:r>
      <w:r>
        <w:rPr>
          <w:rFonts w:hint="eastAsia" w:ascii="仿宋" w:hAnsi="仿宋" w:eastAsia="仿宋" w:cs="仿宋"/>
          <w:color w:val="auto"/>
          <w:sz w:val="32"/>
          <w:szCs w:val="32"/>
        </w:rPr>
        <w:t>100万元</w:t>
      </w:r>
      <w:r>
        <w:rPr>
          <w:rFonts w:hint="eastAsia" w:ascii="仿宋" w:hAnsi="仿宋" w:eastAsia="仿宋" w:cs="仿宋"/>
          <w:color w:val="auto"/>
          <w:sz w:val="32"/>
          <w:szCs w:val="32"/>
          <w:lang w:eastAsia="zh-CN"/>
        </w:rPr>
        <w:t>奖励</w:t>
      </w:r>
      <w:r>
        <w:rPr>
          <w:rFonts w:hint="eastAsia" w:ascii="仿宋" w:hAnsi="仿宋" w:eastAsia="仿宋" w:cs="仿宋"/>
          <w:color w:val="auto"/>
          <w:sz w:val="32"/>
          <w:szCs w:val="32"/>
        </w:rPr>
        <w:t>。</w:t>
      </w:r>
    </w:p>
    <w:p w14:paraId="493C59D0">
      <w:pPr>
        <w:keepNext w:val="0"/>
        <w:keepLines w:val="0"/>
        <w:pageBreakBefore w:val="0"/>
        <w:numPr>
          <w:ilvl w:val="0"/>
          <w:numId w:val="6"/>
        </w:numPr>
        <w:kinsoku/>
        <w:wordWrap/>
        <w:overflowPunct/>
        <w:topLinePunct w:val="0"/>
        <w:autoSpaceDE/>
        <w:autoSpaceDN/>
        <w:bidi w:val="0"/>
        <w:adjustRightInd/>
        <w:snapToGrid/>
        <w:spacing w:line="580" w:lineRule="exact"/>
        <w:ind w:left="0" w:leftChars="0" w:right="0" w:rightChars="0"/>
        <w:jc w:val="center"/>
        <w:textAlignment w:val="auto"/>
        <w:outlineLvl w:val="9"/>
        <w:rPr>
          <w:rFonts w:ascii="黑体" w:hAnsi="黑体" w:eastAsia="黑体" w:cs="黑体"/>
          <w:color w:val="auto"/>
          <w:sz w:val="32"/>
          <w:szCs w:val="32"/>
        </w:rPr>
      </w:pPr>
      <w:r>
        <w:rPr>
          <w:rFonts w:hint="eastAsia" w:ascii="黑体" w:hAnsi="黑体" w:eastAsia="黑体" w:cs="黑体"/>
          <w:color w:val="auto"/>
          <w:sz w:val="32"/>
          <w:szCs w:val="32"/>
          <w:lang w:eastAsia="zh-CN"/>
        </w:rPr>
        <w:t>申报条件及申报程序</w:t>
      </w:r>
    </w:p>
    <w:p w14:paraId="66BD7ED3">
      <w:pPr>
        <w:keepNext w:val="0"/>
        <w:keepLines w:val="0"/>
        <w:pageBreakBefore w:val="0"/>
        <w:numPr>
          <w:ilvl w:val="0"/>
          <w:numId w:val="7"/>
        </w:numPr>
        <w:kinsoku/>
        <w:wordWrap/>
        <w:overflowPunct/>
        <w:topLinePunct w:val="0"/>
        <w:autoSpaceDE/>
        <w:autoSpaceDN/>
        <w:bidi w:val="0"/>
        <w:adjustRightInd/>
        <w:snapToGrid/>
        <w:spacing w:line="580" w:lineRule="exact"/>
        <w:ind w:left="0" w:leftChars="0" w:right="0" w:rightChars="0" w:firstLine="640" w:firstLineChars="200"/>
        <w:textAlignment w:val="auto"/>
        <w:outlineLvl w:val="9"/>
        <w:rPr>
          <w:rFonts w:ascii="仿宋" w:hAnsi="仿宋" w:eastAsia="仿宋" w:cs="仿宋"/>
          <w:color w:val="auto"/>
          <w:sz w:val="32"/>
          <w:szCs w:val="32"/>
          <w:shd w:val="clear" w:color="auto" w:fill="FFFFFF"/>
        </w:rPr>
      </w:pPr>
      <w:r>
        <w:rPr>
          <w:rFonts w:hint="eastAsia" w:ascii="仿宋" w:hAnsi="仿宋" w:eastAsia="仿宋" w:cs="仿宋"/>
          <w:color w:val="auto"/>
          <w:sz w:val="32"/>
          <w:szCs w:val="32"/>
        </w:rPr>
        <w:t>拟申请奖励的项目须完成项目</w:t>
      </w:r>
      <w:r>
        <w:rPr>
          <w:rFonts w:hint="eastAsia" w:ascii="仿宋" w:hAnsi="仿宋" w:eastAsia="仿宋" w:cs="仿宋"/>
          <w:color w:val="auto"/>
          <w:sz w:val="32"/>
          <w:szCs w:val="32"/>
          <w:lang w:eastAsia="zh-CN"/>
        </w:rPr>
        <w:t>主要</w:t>
      </w:r>
      <w:r>
        <w:rPr>
          <w:rFonts w:hint="eastAsia" w:ascii="仿宋" w:hAnsi="仿宋" w:eastAsia="仿宋" w:cs="仿宋"/>
          <w:color w:val="auto"/>
          <w:sz w:val="32"/>
          <w:szCs w:val="32"/>
        </w:rPr>
        <w:t>建设</w:t>
      </w:r>
      <w:r>
        <w:rPr>
          <w:rFonts w:hint="eastAsia" w:ascii="仿宋" w:hAnsi="仿宋" w:eastAsia="仿宋" w:cs="仿宋"/>
          <w:color w:val="auto"/>
          <w:sz w:val="32"/>
          <w:szCs w:val="32"/>
          <w:lang w:eastAsia="zh-CN"/>
        </w:rPr>
        <w:t>内容</w:t>
      </w:r>
      <w:r>
        <w:rPr>
          <w:rFonts w:hint="eastAsia" w:ascii="仿宋" w:hAnsi="仿宋" w:eastAsia="仿宋" w:cs="仿宋"/>
          <w:color w:val="auto"/>
          <w:sz w:val="32"/>
          <w:szCs w:val="32"/>
        </w:rPr>
        <w:t>，项目总投资、设备投资浮动不超过10%，项目已通过决算审计。</w:t>
      </w:r>
    </w:p>
    <w:p w14:paraId="5424398A">
      <w:pPr>
        <w:keepNext w:val="0"/>
        <w:keepLines w:val="0"/>
        <w:pageBreakBefore w:val="0"/>
        <w:numPr>
          <w:ilvl w:val="0"/>
          <w:numId w:val="7"/>
        </w:numPr>
        <w:kinsoku/>
        <w:wordWrap/>
        <w:overflowPunct/>
        <w:topLinePunct w:val="0"/>
        <w:autoSpaceDE/>
        <w:autoSpaceDN/>
        <w:bidi w:val="0"/>
        <w:adjustRightInd/>
        <w:snapToGrid/>
        <w:spacing w:line="580" w:lineRule="exact"/>
        <w:ind w:left="0" w:leftChars="0" w:right="0" w:rightChars="0" w:firstLine="640" w:firstLineChars="200"/>
        <w:textAlignment w:val="auto"/>
        <w:outlineLvl w:val="9"/>
        <w:rPr>
          <w:rFonts w:ascii="仿宋" w:hAnsi="仿宋" w:eastAsia="仿宋" w:cs="仿宋"/>
          <w:color w:val="auto"/>
          <w:sz w:val="32"/>
          <w:szCs w:val="32"/>
          <w:shd w:val="clear" w:color="auto" w:fill="FFFFFF"/>
        </w:rPr>
      </w:pPr>
      <w:r>
        <w:rPr>
          <w:rFonts w:hint="eastAsia" w:ascii="仿宋" w:hAnsi="仿宋" w:eastAsia="仿宋" w:cs="仿宋"/>
          <w:color w:val="auto"/>
          <w:sz w:val="32"/>
          <w:szCs w:val="32"/>
        </w:rPr>
        <w:t>市发展改革委发布</w:t>
      </w:r>
      <w:r>
        <w:rPr>
          <w:rFonts w:hint="eastAsia" w:ascii="仿宋" w:hAnsi="仿宋" w:eastAsia="仿宋" w:cs="仿宋"/>
          <w:color w:val="auto"/>
          <w:sz w:val="32"/>
          <w:szCs w:val="32"/>
          <w:lang w:eastAsia="zh-CN"/>
        </w:rPr>
        <w:t>奖励</w:t>
      </w:r>
      <w:r>
        <w:rPr>
          <w:rFonts w:hint="eastAsia" w:ascii="仿宋" w:hAnsi="仿宋" w:eastAsia="仿宋" w:cs="仿宋"/>
          <w:color w:val="auto"/>
          <w:sz w:val="32"/>
          <w:szCs w:val="32"/>
        </w:rPr>
        <w:t>申报通知，项目单位</w:t>
      </w:r>
      <w:r>
        <w:rPr>
          <w:rFonts w:hint="eastAsia" w:ascii="仿宋" w:hAnsi="仿宋" w:eastAsia="仿宋" w:cs="仿宋"/>
          <w:color w:val="auto"/>
          <w:sz w:val="32"/>
          <w:szCs w:val="32"/>
          <w:lang w:eastAsia="zh-CN"/>
        </w:rPr>
        <w:t>对已竣工投产、符合申报条件的项目编制申报材料，经</w:t>
      </w:r>
      <w:r>
        <w:rPr>
          <w:rFonts w:hint="eastAsia" w:ascii="仿宋" w:hAnsi="仿宋" w:eastAsia="仿宋" w:cs="仿宋"/>
          <w:color w:val="auto"/>
          <w:sz w:val="32"/>
          <w:szCs w:val="32"/>
        </w:rPr>
        <w:t>属地发展改革部门向市发展改革委提出奖励申请，市发展改革委委托第三方机构进行</w:t>
      </w:r>
      <w:r>
        <w:rPr>
          <w:rFonts w:hint="eastAsia" w:ascii="仿宋" w:hAnsi="仿宋" w:eastAsia="仿宋" w:cs="仿宋"/>
          <w:color w:val="auto"/>
          <w:sz w:val="32"/>
          <w:szCs w:val="32"/>
          <w:lang w:eastAsia="zh-CN"/>
        </w:rPr>
        <w:t>评审，提出奖励意见</w:t>
      </w:r>
      <w:r>
        <w:rPr>
          <w:rFonts w:hint="eastAsia" w:ascii="仿宋" w:hAnsi="仿宋" w:eastAsia="仿宋" w:cs="仿宋"/>
          <w:color w:val="auto"/>
          <w:sz w:val="32"/>
          <w:szCs w:val="32"/>
        </w:rPr>
        <w:t>。</w:t>
      </w:r>
    </w:p>
    <w:p w14:paraId="7C2A4440">
      <w:pPr>
        <w:keepNext w:val="0"/>
        <w:keepLines w:val="0"/>
        <w:pageBreakBefore w:val="0"/>
        <w:numPr>
          <w:ilvl w:val="0"/>
          <w:numId w:val="6"/>
        </w:numPr>
        <w:kinsoku/>
        <w:wordWrap/>
        <w:overflowPunct/>
        <w:topLinePunct w:val="0"/>
        <w:autoSpaceDE/>
        <w:autoSpaceDN/>
        <w:bidi w:val="0"/>
        <w:adjustRightInd/>
        <w:snapToGrid/>
        <w:spacing w:line="580" w:lineRule="exact"/>
        <w:ind w:left="0" w:leftChars="0" w:right="0" w:rightChars="0"/>
        <w:jc w:val="center"/>
        <w:textAlignment w:val="auto"/>
        <w:outlineLvl w:val="9"/>
        <w:rPr>
          <w:rFonts w:ascii="黑体" w:hAnsi="黑体" w:eastAsia="黑体" w:cs="黑体"/>
          <w:color w:val="auto"/>
          <w:sz w:val="32"/>
          <w:szCs w:val="32"/>
        </w:rPr>
      </w:pPr>
      <w:r>
        <w:rPr>
          <w:rFonts w:hint="eastAsia" w:ascii="黑体" w:hAnsi="黑体" w:eastAsia="黑体" w:cs="黑体"/>
          <w:color w:val="auto"/>
          <w:sz w:val="32"/>
          <w:szCs w:val="32"/>
        </w:rPr>
        <w:t>资金拨付</w:t>
      </w:r>
      <w:r>
        <w:rPr>
          <w:rFonts w:hint="eastAsia" w:ascii="黑体" w:hAnsi="黑体" w:eastAsia="黑体" w:cs="黑体"/>
          <w:color w:val="auto"/>
          <w:sz w:val="32"/>
          <w:szCs w:val="32"/>
          <w:lang w:eastAsia="zh-CN"/>
        </w:rPr>
        <w:t>及</w:t>
      </w:r>
      <w:r>
        <w:rPr>
          <w:rFonts w:hint="eastAsia" w:ascii="黑体" w:hAnsi="黑体" w:eastAsia="黑体" w:cs="黑体"/>
          <w:color w:val="auto"/>
          <w:sz w:val="32"/>
          <w:szCs w:val="32"/>
        </w:rPr>
        <w:t>绩效评价</w:t>
      </w:r>
    </w:p>
    <w:p w14:paraId="5C891C57">
      <w:pPr>
        <w:keepNext w:val="0"/>
        <w:keepLines w:val="0"/>
        <w:pageBreakBefore w:val="0"/>
        <w:numPr>
          <w:ilvl w:val="0"/>
          <w:numId w:val="7"/>
        </w:numPr>
        <w:kinsoku/>
        <w:wordWrap/>
        <w:overflowPunct/>
        <w:topLinePunct w:val="0"/>
        <w:autoSpaceDE/>
        <w:autoSpaceDN/>
        <w:bidi w:val="0"/>
        <w:adjustRightInd/>
        <w:snapToGrid/>
        <w:spacing w:line="580" w:lineRule="exact"/>
        <w:ind w:left="0" w:leftChars="0" w:right="0" w:rightChars="0" w:firstLine="640" w:firstLineChars="200"/>
        <w:textAlignment w:val="auto"/>
        <w:outlineLvl w:val="9"/>
        <w:rPr>
          <w:rFonts w:ascii="仿宋" w:hAnsi="仿宋" w:eastAsia="仿宋" w:cs="仿宋"/>
          <w:color w:val="auto"/>
          <w:sz w:val="32"/>
          <w:szCs w:val="32"/>
        </w:rPr>
      </w:pPr>
      <w:r>
        <w:rPr>
          <w:rFonts w:hint="eastAsia" w:ascii="仿宋" w:hAnsi="仿宋" w:eastAsia="仿宋" w:cs="仿宋"/>
          <w:color w:val="auto"/>
          <w:sz w:val="32"/>
          <w:szCs w:val="32"/>
        </w:rPr>
        <w:t>市发展改革委对拟奖励的项目，在本部门网站公示5天。</w:t>
      </w:r>
    </w:p>
    <w:p w14:paraId="06F7E13A">
      <w:pPr>
        <w:keepNext w:val="0"/>
        <w:keepLines w:val="0"/>
        <w:pageBreakBefore w:val="0"/>
        <w:numPr>
          <w:ilvl w:val="0"/>
          <w:numId w:val="7"/>
        </w:numPr>
        <w:kinsoku/>
        <w:wordWrap/>
        <w:overflowPunct/>
        <w:topLinePunct w:val="0"/>
        <w:autoSpaceDE/>
        <w:autoSpaceDN/>
        <w:bidi w:val="0"/>
        <w:adjustRightInd/>
        <w:snapToGrid/>
        <w:spacing w:line="580" w:lineRule="exact"/>
        <w:ind w:left="0" w:leftChars="0" w:right="0" w:rightChars="0" w:firstLine="640" w:firstLineChars="200"/>
        <w:textAlignment w:val="auto"/>
        <w:outlineLvl w:val="9"/>
        <w:rPr>
          <w:rFonts w:ascii="仿宋" w:hAnsi="仿宋" w:eastAsia="仿宋" w:cs="仿宋"/>
          <w:color w:val="auto"/>
          <w:sz w:val="32"/>
          <w:szCs w:val="32"/>
        </w:rPr>
      </w:pPr>
      <w:r>
        <w:rPr>
          <w:rFonts w:hint="eastAsia" w:ascii="仿宋" w:hAnsi="仿宋" w:eastAsia="仿宋" w:cs="仿宋"/>
          <w:color w:val="auto"/>
          <w:sz w:val="32"/>
          <w:szCs w:val="32"/>
        </w:rPr>
        <w:t>公示无异议的，市发展改革委将奖励资金安排意见</w:t>
      </w:r>
      <w:r>
        <w:rPr>
          <w:rFonts w:hint="eastAsia" w:ascii="仿宋" w:hAnsi="仿宋" w:eastAsia="仿宋" w:cs="仿宋"/>
          <w:color w:val="auto"/>
          <w:sz w:val="32"/>
          <w:szCs w:val="32"/>
          <w:shd w:val="clear" w:color="auto" w:fill="FFFFFF"/>
        </w:rPr>
        <w:t>报市政府批准后，由市财政局按程序</w:t>
      </w:r>
      <w:r>
        <w:rPr>
          <w:rFonts w:hint="eastAsia" w:ascii="仿宋" w:hAnsi="仿宋" w:eastAsia="仿宋" w:cs="仿宋"/>
          <w:color w:val="auto"/>
          <w:sz w:val="32"/>
          <w:szCs w:val="32"/>
        </w:rPr>
        <w:t>拨付奖励资金。</w:t>
      </w:r>
    </w:p>
    <w:p w14:paraId="3D18E72B">
      <w:pPr>
        <w:keepNext w:val="0"/>
        <w:keepLines w:val="0"/>
        <w:pageBreakBefore w:val="0"/>
        <w:numPr>
          <w:ilvl w:val="0"/>
          <w:numId w:val="7"/>
        </w:numPr>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rPr>
        <w:t>按属地管理原则，专项资金绩效目标与预算同步设定、同步审核、同步下达，加强对专项资金绩效目标实现程度和预算执行进度的“双监控”。市发展改革委对奖补资金情况进行绩效自评，并向市财政部门报送绩效自评。市财政部门适时对专项资金实施重点绩效评价，评价结果将作为预算安排的重要依据。</w:t>
      </w:r>
    </w:p>
    <w:p w14:paraId="095D25BF">
      <w:pPr>
        <w:keepNext w:val="0"/>
        <w:keepLines w:val="0"/>
        <w:pageBreakBefore w:val="0"/>
        <w:numPr>
          <w:ilvl w:val="0"/>
          <w:numId w:val="0"/>
        </w:numPr>
        <w:tabs>
          <w:tab w:val="left" w:pos="0"/>
        </w:tabs>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hint="eastAsia" w:ascii="仿宋" w:hAnsi="仿宋" w:eastAsia="仿宋" w:cs="仿宋"/>
          <w:color w:val="auto"/>
          <w:sz w:val="32"/>
          <w:szCs w:val="32"/>
        </w:rPr>
      </w:pPr>
      <w:r>
        <w:rPr>
          <w:rFonts w:hint="eastAsia" w:ascii="黑体" w:hAnsi="黑体" w:eastAsia="黑体" w:cs="黑体"/>
          <w:color w:val="auto"/>
          <w:sz w:val="32"/>
          <w:szCs w:val="32"/>
          <w:lang w:eastAsia="zh-CN"/>
        </w:rPr>
        <w:t>第十二条</w:t>
      </w:r>
      <w:r>
        <w:rPr>
          <w:rFonts w:hint="eastAsia" w:ascii="黑体" w:hAnsi="黑体" w:eastAsia="黑体" w:cs="黑体"/>
          <w:color w:val="auto"/>
          <w:sz w:val="32"/>
          <w:szCs w:val="32"/>
          <w:lang w:val="en-US" w:eastAsia="zh-CN"/>
        </w:rPr>
        <w:t xml:space="preserve"> </w:t>
      </w:r>
      <w:r>
        <w:rPr>
          <w:rFonts w:hint="eastAsia" w:ascii="仿宋" w:hAnsi="仿宋" w:eastAsia="仿宋" w:cs="仿宋"/>
          <w:color w:val="auto"/>
          <w:sz w:val="32"/>
          <w:szCs w:val="32"/>
        </w:rPr>
        <w:t>对在申报过程中存在弄虚作假行为的，一经查实将取消申报单位资格，收回奖励资金，3年内取消申报资格</w:t>
      </w:r>
      <w:r>
        <w:rPr>
          <w:rFonts w:hint="eastAsia" w:ascii="仿宋" w:hAnsi="仿宋" w:eastAsia="仿宋" w:cs="仿宋"/>
          <w:color w:val="auto"/>
          <w:sz w:val="32"/>
          <w:szCs w:val="32"/>
          <w:lang w:eastAsia="zh-CN"/>
        </w:rPr>
        <w:t>，并依法依规进行处罚</w:t>
      </w:r>
      <w:r>
        <w:rPr>
          <w:rFonts w:hint="eastAsia" w:ascii="仿宋" w:hAnsi="仿宋" w:eastAsia="仿宋" w:cs="仿宋"/>
          <w:color w:val="auto"/>
          <w:sz w:val="32"/>
          <w:szCs w:val="32"/>
        </w:rPr>
        <w:t>。</w:t>
      </w:r>
    </w:p>
    <w:p w14:paraId="62F0DEFC">
      <w:pPr>
        <w:keepNext w:val="0"/>
        <w:keepLines w:val="0"/>
        <w:pageBreakBefore w:val="0"/>
        <w:numPr>
          <w:ilvl w:val="0"/>
          <w:numId w:val="0"/>
        </w:numPr>
        <w:tabs>
          <w:tab w:val="left" w:pos="0"/>
        </w:tabs>
        <w:kinsoku/>
        <w:wordWrap/>
        <w:overflowPunct/>
        <w:topLinePunct w:val="0"/>
        <w:autoSpaceDE/>
        <w:autoSpaceDN/>
        <w:bidi w:val="0"/>
        <w:adjustRightInd/>
        <w:snapToGrid/>
        <w:spacing w:line="580" w:lineRule="exact"/>
        <w:ind w:left="0" w:leftChars="0" w:right="0" w:rightChars="0"/>
        <w:jc w:val="center"/>
        <w:textAlignment w:val="auto"/>
        <w:outlineLvl w:val="9"/>
        <w:rPr>
          <w:rFonts w:ascii="黑体" w:hAnsi="黑体" w:eastAsia="黑体" w:cs="黑体"/>
          <w:color w:val="auto"/>
          <w:sz w:val="32"/>
          <w:szCs w:val="32"/>
        </w:rPr>
      </w:pPr>
      <w:r>
        <w:rPr>
          <w:rFonts w:hint="eastAsia" w:ascii="黑体" w:hAnsi="黑体" w:eastAsia="黑体" w:cs="黑体"/>
          <w:color w:val="auto"/>
          <w:sz w:val="32"/>
          <w:szCs w:val="32"/>
          <w:lang w:eastAsia="zh-CN"/>
        </w:rPr>
        <w:t>第五章</w:t>
      </w:r>
      <w:r>
        <w:rPr>
          <w:rFonts w:hint="eastAsia" w:ascii="黑体" w:hAnsi="黑体" w:eastAsia="黑体" w:cs="黑体"/>
          <w:color w:val="auto"/>
          <w:sz w:val="32"/>
          <w:szCs w:val="32"/>
          <w:lang w:val="en-US" w:eastAsia="zh-CN"/>
        </w:rPr>
        <w:t xml:space="preserve"> </w:t>
      </w:r>
      <w:r>
        <w:rPr>
          <w:rFonts w:hint="eastAsia" w:ascii="黑体" w:hAnsi="黑体" w:eastAsia="黑体" w:cs="黑体"/>
          <w:color w:val="auto"/>
          <w:sz w:val="32"/>
          <w:szCs w:val="32"/>
        </w:rPr>
        <w:t>附则</w:t>
      </w:r>
    </w:p>
    <w:p w14:paraId="75E21ED9">
      <w:pPr>
        <w:keepNext w:val="0"/>
        <w:keepLines w:val="0"/>
        <w:pageBreakBefore w:val="0"/>
        <w:numPr>
          <w:ilvl w:val="0"/>
          <w:numId w:val="0"/>
        </w:numPr>
        <w:tabs>
          <w:tab w:val="left" w:pos="0"/>
        </w:tabs>
        <w:kinsoku/>
        <w:wordWrap/>
        <w:overflowPunct/>
        <w:topLinePunct w:val="0"/>
        <w:autoSpaceDE/>
        <w:autoSpaceDN/>
        <w:bidi w:val="0"/>
        <w:adjustRightInd/>
        <w:snapToGrid/>
        <w:spacing w:line="580" w:lineRule="exact"/>
        <w:ind w:left="0" w:leftChars="0" w:right="0" w:rightChars="0" w:firstLine="640" w:firstLineChars="200"/>
        <w:textAlignment w:val="auto"/>
        <w:outlineLvl w:val="9"/>
        <w:rPr>
          <w:rFonts w:ascii="仿宋" w:hAnsi="仿宋" w:eastAsia="仿宋" w:cs="仿宋"/>
          <w:color w:val="auto"/>
          <w:sz w:val="32"/>
          <w:szCs w:val="32"/>
        </w:rPr>
      </w:pPr>
      <w:r>
        <w:rPr>
          <w:rFonts w:hint="eastAsia" w:ascii="黑体" w:hAnsi="黑体" w:eastAsia="黑体" w:cs="黑体"/>
          <w:color w:val="auto"/>
          <w:sz w:val="32"/>
          <w:szCs w:val="32"/>
          <w:lang w:eastAsia="zh-CN"/>
        </w:rPr>
        <w:t>第十三条</w:t>
      </w:r>
      <w:r>
        <w:rPr>
          <w:rFonts w:hint="eastAsia" w:ascii="黑体" w:hAnsi="黑体" w:eastAsia="黑体" w:cs="黑体"/>
          <w:color w:val="auto"/>
          <w:sz w:val="32"/>
          <w:szCs w:val="32"/>
          <w:lang w:val="en-US" w:eastAsia="zh-CN"/>
        </w:rPr>
        <w:t xml:space="preserve"> </w:t>
      </w:r>
      <w:r>
        <w:rPr>
          <w:rFonts w:hint="eastAsia" w:ascii="仿宋" w:hAnsi="仿宋" w:eastAsia="仿宋" w:cs="仿宋"/>
          <w:color w:val="auto"/>
          <w:sz w:val="32"/>
          <w:szCs w:val="32"/>
        </w:rPr>
        <w:t>本细则由市发展改革委负责执行，自印发之日起实施。</w:t>
      </w:r>
    </w:p>
    <w:p w14:paraId="682886DF">
      <w:pPr>
        <w:keepNext w:val="0"/>
        <w:keepLines w:val="0"/>
        <w:pageBreakBefore w:val="0"/>
        <w:numPr>
          <w:ilvl w:val="0"/>
          <w:numId w:val="7"/>
        </w:numPr>
        <w:kinsoku/>
        <w:wordWrap/>
        <w:overflowPunct/>
        <w:topLinePunct w:val="0"/>
        <w:autoSpaceDE/>
        <w:autoSpaceDN/>
        <w:bidi w:val="0"/>
        <w:adjustRightInd/>
        <w:snapToGrid/>
        <w:spacing w:line="580" w:lineRule="exact"/>
        <w:ind w:left="0" w:leftChars="0" w:right="0" w:rightChars="0" w:firstLine="640" w:firstLineChars="200"/>
        <w:textAlignment w:val="auto"/>
        <w:outlineLvl w:val="9"/>
        <w:rPr>
          <w:rFonts w:ascii="仿宋" w:hAnsi="仿宋" w:eastAsia="仿宋" w:cs="仿宋"/>
          <w:color w:val="auto"/>
          <w:sz w:val="32"/>
          <w:szCs w:val="32"/>
        </w:rPr>
        <w:sectPr>
          <w:pgSz w:w="11906" w:h="16838"/>
          <w:pgMar w:top="2098" w:right="1474" w:bottom="1984" w:left="1587" w:header="851" w:footer="992" w:gutter="0"/>
          <w:pgNumType w:fmt="decimal"/>
          <w:cols w:space="720" w:num="1"/>
          <w:docGrid w:type="lines" w:linePitch="312" w:charSpace="0"/>
        </w:sectPr>
      </w:pPr>
    </w:p>
    <w:p w14:paraId="2ED38C6B">
      <w:pPr>
        <w:keepNext w:val="0"/>
        <w:keepLines w:val="0"/>
        <w:pageBreakBefore w:val="0"/>
        <w:kinsoku/>
        <w:overflowPunct/>
        <w:topLinePunct w:val="0"/>
        <w:autoSpaceDE/>
        <w:autoSpaceDN/>
        <w:bidi w:val="0"/>
        <w:adjustRightInd/>
        <w:snapToGrid/>
        <w:spacing w:line="580" w:lineRule="exact"/>
        <w:textAlignment w:val="auto"/>
        <w:rPr>
          <w:rFonts w:hint="default"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附件5</w:t>
      </w:r>
    </w:p>
    <w:p w14:paraId="6657C7F4">
      <w:pPr>
        <w:pStyle w:val="4"/>
        <w:keepNext w:val="0"/>
        <w:keepLines w:val="0"/>
        <w:pageBreakBefore w:val="0"/>
        <w:kinsoku/>
        <w:overflowPunct/>
        <w:topLinePunct w:val="0"/>
        <w:autoSpaceDE/>
        <w:autoSpaceDN/>
        <w:bidi w:val="0"/>
        <w:adjustRightInd/>
        <w:snapToGrid/>
        <w:spacing w:line="580" w:lineRule="exact"/>
        <w:textAlignment w:val="auto"/>
      </w:pPr>
    </w:p>
    <w:p w14:paraId="6D68FF61">
      <w:pPr>
        <w:keepNext w:val="0"/>
        <w:keepLines w:val="0"/>
        <w:pageBreakBefore w:val="0"/>
        <w:kinsoku/>
        <w:overflowPunct/>
        <w:topLinePunct w:val="0"/>
        <w:autoSpaceDE/>
        <w:autoSpaceDN/>
        <w:bidi w:val="0"/>
        <w:adjustRightInd/>
        <w:snapToGrid/>
        <w:spacing w:line="580" w:lineRule="exact"/>
        <w:jc w:val="center"/>
        <w:textAlignment w:val="auto"/>
        <w:outlineLvl w:val="0"/>
        <w:rPr>
          <w:rFonts w:hint="eastAsia" w:ascii="方正小标宋简体" w:hAnsi="方正小标宋简体" w:eastAsia="方正小标宋简体" w:cs="方正小标宋简体"/>
          <w:b w:val="0"/>
          <w:bCs w:val="0"/>
          <w:color w:val="auto"/>
          <w:sz w:val="44"/>
          <w:szCs w:val="44"/>
        </w:rPr>
      </w:pPr>
      <w:bookmarkStart w:id="6" w:name="_Toc567"/>
      <w:bookmarkStart w:id="7" w:name="_Toc24589"/>
      <w:r>
        <w:rPr>
          <w:rFonts w:hint="eastAsia" w:ascii="方正小标宋简体" w:hAnsi="方正小标宋简体" w:eastAsia="方正小标宋简体" w:cs="方正小标宋简体"/>
          <w:b w:val="0"/>
          <w:bCs w:val="0"/>
          <w:color w:val="auto"/>
          <w:sz w:val="44"/>
          <w:szCs w:val="44"/>
        </w:rPr>
        <w:t>支持新一代电子信息企业发展实施细则</w:t>
      </w:r>
      <w:bookmarkEnd w:id="6"/>
      <w:bookmarkEnd w:id="7"/>
    </w:p>
    <w:p w14:paraId="24BF86B7">
      <w:pPr>
        <w:keepNext w:val="0"/>
        <w:keepLines w:val="0"/>
        <w:pageBreakBefore w:val="0"/>
        <w:kinsoku/>
        <w:overflowPunct/>
        <w:topLinePunct w:val="0"/>
        <w:autoSpaceDE/>
        <w:autoSpaceDN/>
        <w:bidi w:val="0"/>
        <w:adjustRightInd/>
        <w:snapToGrid/>
        <w:spacing w:line="580" w:lineRule="exact"/>
        <w:jc w:val="center"/>
        <w:textAlignment w:val="auto"/>
        <w:rPr>
          <w:color w:val="auto"/>
          <w:sz w:val="32"/>
          <w:szCs w:val="32"/>
        </w:rPr>
      </w:pPr>
      <w:r>
        <w:rPr>
          <w:rFonts w:hint="eastAsia" w:ascii="方正仿宋_GBK" w:hAnsi="方正仿宋_GBK" w:eastAsia="方正仿宋_GBK" w:cs="方正仿宋_GBK"/>
          <w:sz w:val="32"/>
          <w:szCs w:val="32"/>
          <w:lang w:eastAsia="zh-CN"/>
        </w:rPr>
        <w:t>（征求意见稿）</w:t>
      </w:r>
    </w:p>
    <w:p w14:paraId="00C8899D">
      <w:pPr>
        <w:keepNext w:val="0"/>
        <w:keepLines w:val="0"/>
        <w:pageBreakBefore w:val="0"/>
        <w:kinsoku/>
        <w:overflowPunct/>
        <w:topLinePunct w:val="0"/>
        <w:autoSpaceDE/>
        <w:autoSpaceDN/>
        <w:bidi w:val="0"/>
        <w:adjustRightInd/>
        <w:snapToGrid/>
        <w:spacing w:line="580" w:lineRule="exact"/>
        <w:jc w:val="center"/>
        <w:textAlignment w:val="auto"/>
        <w:rPr>
          <w:rFonts w:ascii="黑体" w:hAnsi="黑体" w:eastAsia="黑体" w:cs="黑体"/>
          <w:color w:val="auto"/>
          <w:sz w:val="32"/>
          <w:szCs w:val="32"/>
        </w:rPr>
      </w:pPr>
      <w:r>
        <w:rPr>
          <w:rFonts w:hint="eastAsia" w:ascii="黑体" w:hAnsi="黑体" w:eastAsia="黑体" w:cs="黑体"/>
          <w:color w:val="auto"/>
          <w:sz w:val="32"/>
          <w:szCs w:val="32"/>
        </w:rPr>
        <w:t>第一章 总则</w:t>
      </w:r>
    </w:p>
    <w:p w14:paraId="2DDB37AF">
      <w:pPr>
        <w:keepNext w:val="0"/>
        <w:keepLines w:val="0"/>
        <w:pageBreakBefore w:val="0"/>
        <w:numPr>
          <w:ilvl w:val="0"/>
          <w:numId w:val="8"/>
        </w:numPr>
        <w:kinsoku/>
        <w:overflowPunct/>
        <w:topLinePunct w:val="0"/>
        <w:autoSpaceDE/>
        <w:autoSpaceDN/>
        <w:bidi w:val="0"/>
        <w:adjustRightInd/>
        <w:snapToGrid/>
        <w:spacing w:line="580" w:lineRule="exact"/>
        <w:ind w:firstLine="640" w:firstLineChars="200"/>
        <w:textAlignment w:val="auto"/>
        <w:rPr>
          <w:rFonts w:ascii="仿宋" w:hAnsi="仿宋" w:eastAsia="仿宋" w:cs="仿宋"/>
          <w:color w:val="auto"/>
          <w:sz w:val="32"/>
          <w:szCs w:val="32"/>
        </w:rPr>
      </w:pPr>
      <w:r>
        <w:rPr>
          <w:rFonts w:hint="eastAsia" w:ascii="仿宋" w:hAnsi="仿宋" w:eastAsia="仿宋" w:cs="仿宋"/>
          <w:color w:val="auto"/>
          <w:sz w:val="32"/>
          <w:szCs w:val="32"/>
        </w:rPr>
        <w:t>根据《关于支持新一代电子信息产业和生物医药产业率先突破的若干措施》有关规定，制定本细则。</w:t>
      </w:r>
    </w:p>
    <w:p w14:paraId="6C2F5B27">
      <w:pPr>
        <w:keepNext w:val="0"/>
        <w:keepLines w:val="0"/>
        <w:pageBreakBefore w:val="0"/>
        <w:numPr>
          <w:ilvl w:val="0"/>
          <w:numId w:val="8"/>
        </w:numPr>
        <w:kinsoku/>
        <w:overflowPunct/>
        <w:topLinePunct w:val="0"/>
        <w:autoSpaceDE/>
        <w:autoSpaceDN/>
        <w:bidi w:val="0"/>
        <w:adjustRightInd/>
        <w:snapToGrid/>
        <w:spacing w:line="580" w:lineRule="exact"/>
        <w:ind w:firstLine="640" w:firstLineChars="200"/>
        <w:textAlignment w:val="auto"/>
        <w:rPr>
          <w:rFonts w:ascii="仿宋" w:hAnsi="仿宋" w:eastAsia="仿宋" w:cs="仿宋"/>
          <w:color w:val="auto"/>
          <w:sz w:val="32"/>
          <w:szCs w:val="32"/>
        </w:rPr>
      </w:pPr>
      <w:r>
        <w:rPr>
          <w:rFonts w:hint="eastAsia" w:ascii="仿宋" w:hAnsi="仿宋" w:eastAsia="仿宋" w:cs="仿宋"/>
          <w:color w:val="auto"/>
          <w:sz w:val="32"/>
          <w:szCs w:val="32"/>
        </w:rPr>
        <w:t>本细则采取事后补助方式，所需资金从市主导产业专项资金中列支</w:t>
      </w:r>
      <w:r>
        <w:rPr>
          <w:rFonts w:hint="eastAsia" w:ascii="仿宋_GB2312" w:hAnsi="仿宋_GB2312" w:eastAsia="仿宋_GB2312" w:cs="仿宋_GB2312"/>
          <w:color w:val="auto"/>
          <w:sz w:val="32"/>
          <w:szCs w:val="32"/>
        </w:rPr>
        <w:t>。</w:t>
      </w:r>
    </w:p>
    <w:p w14:paraId="1AB13C78">
      <w:pPr>
        <w:keepNext w:val="0"/>
        <w:keepLines w:val="0"/>
        <w:pageBreakBefore w:val="0"/>
        <w:kinsoku/>
        <w:overflowPunct/>
        <w:topLinePunct w:val="0"/>
        <w:autoSpaceDE/>
        <w:autoSpaceDN/>
        <w:bidi w:val="0"/>
        <w:adjustRightInd/>
        <w:snapToGrid/>
        <w:spacing w:line="580" w:lineRule="exact"/>
        <w:jc w:val="center"/>
        <w:textAlignment w:val="auto"/>
        <w:rPr>
          <w:rFonts w:ascii="黑体" w:hAnsi="黑体" w:eastAsia="黑体" w:cs="黑体"/>
          <w:color w:val="auto"/>
          <w:sz w:val="32"/>
          <w:szCs w:val="32"/>
        </w:rPr>
      </w:pPr>
      <w:r>
        <w:rPr>
          <w:rFonts w:hint="eastAsia" w:ascii="黑体" w:hAnsi="黑体" w:eastAsia="黑体" w:cs="黑体"/>
          <w:color w:val="auto"/>
          <w:sz w:val="32"/>
          <w:szCs w:val="32"/>
        </w:rPr>
        <w:t>第二章 支持范围及标准</w:t>
      </w:r>
    </w:p>
    <w:p w14:paraId="4F29EE54">
      <w:pPr>
        <w:keepNext w:val="0"/>
        <w:keepLines w:val="0"/>
        <w:pageBreakBefore w:val="0"/>
        <w:numPr>
          <w:ilvl w:val="0"/>
          <w:numId w:val="8"/>
        </w:numPr>
        <w:kinsoku/>
        <w:overflowPunct/>
        <w:topLinePunct w:val="0"/>
        <w:autoSpaceDE/>
        <w:autoSpaceDN/>
        <w:bidi w:val="0"/>
        <w:adjustRightInd/>
        <w:snapToGrid/>
        <w:spacing w:line="580" w:lineRule="exact"/>
        <w:ind w:firstLine="640" w:firstLineChars="200"/>
        <w:textAlignment w:val="auto"/>
        <w:rPr>
          <w:rFonts w:ascii="仿宋" w:hAnsi="仿宋" w:eastAsia="仿宋" w:cs="仿宋"/>
          <w:color w:val="auto"/>
          <w:sz w:val="32"/>
          <w:szCs w:val="32"/>
        </w:rPr>
      </w:pPr>
      <w:r>
        <w:rPr>
          <w:rFonts w:hint="eastAsia" w:ascii="仿宋" w:hAnsi="仿宋" w:eastAsia="仿宋" w:cs="仿宋"/>
          <w:color w:val="auto"/>
          <w:sz w:val="32"/>
          <w:szCs w:val="32"/>
          <w:shd w:val="clear" w:color="auto" w:fill="FFFFFF"/>
        </w:rPr>
        <w:t>具备集成电路设计能力的新一代电子信息企业（含科研院所</w:t>
      </w:r>
      <w:r>
        <w:rPr>
          <w:rFonts w:hint="eastAsia" w:ascii="仿宋" w:hAnsi="仿宋" w:eastAsia="仿宋" w:cs="仿宋"/>
          <w:color w:val="auto"/>
          <w:sz w:val="32"/>
          <w:szCs w:val="32"/>
          <w:shd w:val="clear" w:color="auto" w:fill="FFFFFF"/>
          <w:lang w:eastAsia="zh-CN"/>
        </w:rPr>
        <w:t>，下同</w:t>
      </w:r>
      <w:r>
        <w:rPr>
          <w:rFonts w:hint="eastAsia" w:ascii="仿宋" w:hAnsi="仿宋" w:eastAsia="仿宋" w:cs="仿宋"/>
          <w:color w:val="auto"/>
          <w:sz w:val="32"/>
          <w:szCs w:val="32"/>
          <w:shd w:val="clear" w:color="auto" w:fill="FFFFFF"/>
        </w:rPr>
        <w:t>）</w:t>
      </w:r>
      <w:r>
        <w:rPr>
          <w:rFonts w:hint="eastAsia" w:ascii="仿宋" w:hAnsi="仿宋" w:eastAsia="仿宋" w:cs="仿宋"/>
          <w:color w:val="auto"/>
          <w:sz w:val="32"/>
          <w:szCs w:val="32"/>
        </w:rPr>
        <w:t>。</w:t>
      </w:r>
    </w:p>
    <w:p w14:paraId="64F74828">
      <w:pPr>
        <w:keepNext w:val="0"/>
        <w:keepLines w:val="0"/>
        <w:pageBreakBefore w:val="0"/>
        <w:numPr>
          <w:ilvl w:val="0"/>
          <w:numId w:val="8"/>
        </w:numPr>
        <w:kinsoku/>
        <w:overflowPunct/>
        <w:topLinePunct w:val="0"/>
        <w:autoSpaceDE/>
        <w:autoSpaceDN/>
        <w:bidi w:val="0"/>
        <w:adjustRightInd/>
        <w:snapToGrid/>
        <w:spacing w:line="580" w:lineRule="exact"/>
        <w:ind w:firstLine="640" w:firstLineChars="200"/>
        <w:textAlignment w:val="auto"/>
        <w:rPr>
          <w:rFonts w:ascii="仿宋" w:hAnsi="仿宋" w:eastAsia="仿宋" w:cs="仿宋"/>
          <w:color w:val="auto"/>
          <w:sz w:val="32"/>
          <w:szCs w:val="32"/>
        </w:rPr>
      </w:pPr>
      <w:r>
        <w:rPr>
          <w:rFonts w:hint="eastAsia" w:ascii="仿宋" w:hAnsi="仿宋" w:eastAsia="仿宋" w:cs="仿宋"/>
          <w:color w:val="auto"/>
          <w:sz w:val="32"/>
          <w:szCs w:val="32"/>
        </w:rPr>
        <w:t>对开展流片验证费用的企业给予不超过50%补助，每个企业每年最高100万元。</w:t>
      </w:r>
    </w:p>
    <w:p w14:paraId="0F970FCA">
      <w:pPr>
        <w:keepNext w:val="0"/>
        <w:keepLines w:val="0"/>
        <w:pageBreakBefore w:val="0"/>
        <w:kinsoku/>
        <w:overflowPunct/>
        <w:topLinePunct w:val="0"/>
        <w:autoSpaceDE/>
        <w:autoSpaceDN/>
        <w:bidi w:val="0"/>
        <w:adjustRightInd/>
        <w:snapToGrid/>
        <w:spacing w:line="580" w:lineRule="exact"/>
        <w:jc w:val="center"/>
        <w:textAlignment w:val="auto"/>
        <w:rPr>
          <w:rFonts w:ascii="黑体" w:hAnsi="黑体" w:eastAsia="黑体" w:cs="黑体"/>
          <w:color w:val="auto"/>
          <w:sz w:val="32"/>
          <w:szCs w:val="32"/>
        </w:rPr>
      </w:pPr>
      <w:r>
        <w:rPr>
          <w:rFonts w:hint="eastAsia" w:ascii="黑体" w:hAnsi="黑体" w:eastAsia="黑体" w:cs="黑体"/>
          <w:color w:val="auto"/>
          <w:sz w:val="32"/>
          <w:szCs w:val="32"/>
        </w:rPr>
        <w:t>第三章 申报程序</w:t>
      </w:r>
    </w:p>
    <w:p w14:paraId="70FFE0A5">
      <w:pPr>
        <w:keepNext w:val="0"/>
        <w:keepLines w:val="0"/>
        <w:pageBreakBefore w:val="0"/>
        <w:numPr>
          <w:ilvl w:val="0"/>
          <w:numId w:val="8"/>
        </w:numPr>
        <w:kinsoku/>
        <w:overflowPunct/>
        <w:topLinePunct w:val="0"/>
        <w:autoSpaceDE/>
        <w:autoSpaceDN/>
        <w:bidi w:val="0"/>
        <w:adjustRightInd/>
        <w:snapToGrid/>
        <w:spacing w:line="580" w:lineRule="exact"/>
        <w:ind w:firstLine="640" w:firstLineChars="200"/>
        <w:textAlignment w:val="auto"/>
        <w:rPr>
          <w:rFonts w:ascii="仿宋" w:hAnsi="仿宋" w:eastAsia="仿宋" w:cs="仿宋"/>
          <w:color w:val="auto"/>
          <w:sz w:val="32"/>
          <w:szCs w:val="32"/>
        </w:rPr>
      </w:pPr>
      <w:r>
        <w:rPr>
          <w:rFonts w:hint="eastAsia" w:ascii="仿宋" w:hAnsi="仿宋" w:eastAsia="仿宋" w:cs="仿宋"/>
          <w:color w:val="auto"/>
          <w:sz w:val="32"/>
          <w:szCs w:val="32"/>
        </w:rPr>
        <w:t>市发展改革委发布申报通知，项目单位依照通知编制材料，经县</w:t>
      </w:r>
      <w:r>
        <w:rPr>
          <w:rFonts w:hint="eastAsia" w:ascii="仿宋" w:hAnsi="仿宋" w:eastAsia="仿宋" w:cs="仿宋"/>
          <w:color w:val="auto"/>
          <w:sz w:val="32"/>
          <w:szCs w:val="32"/>
          <w:lang w:eastAsia="zh-CN"/>
        </w:rPr>
        <w:t>（市、区）</w:t>
      </w:r>
      <w:r>
        <w:rPr>
          <w:rFonts w:hint="eastAsia" w:ascii="仿宋" w:hAnsi="仿宋" w:eastAsia="仿宋" w:cs="仿宋"/>
          <w:color w:val="auto"/>
          <w:sz w:val="32"/>
          <w:szCs w:val="32"/>
        </w:rPr>
        <w:t>发展改革部门审核后报送市发展改革委。</w:t>
      </w:r>
    </w:p>
    <w:p w14:paraId="1665518D">
      <w:pPr>
        <w:keepNext w:val="0"/>
        <w:keepLines w:val="0"/>
        <w:pageBreakBefore w:val="0"/>
        <w:numPr>
          <w:ilvl w:val="0"/>
          <w:numId w:val="8"/>
        </w:numPr>
        <w:kinsoku/>
        <w:overflowPunct/>
        <w:topLinePunct w:val="0"/>
        <w:autoSpaceDE/>
        <w:autoSpaceDN/>
        <w:bidi w:val="0"/>
        <w:adjustRightInd/>
        <w:snapToGrid/>
        <w:spacing w:line="580" w:lineRule="exact"/>
        <w:ind w:firstLine="640" w:firstLineChars="200"/>
        <w:textAlignment w:val="auto"/>
        <w:rPr>
          <w:rFonts w:ascii="仿宋" w:hAnsi="仿宋" w:eastAsia="仿宋" w:cs="仿宋"/>
          <w:color w:val="auto"/>
          <w:sz w:val="32"/>
          <w:szCs w:val="32"/>
        </w:rPr>
      </w:pPr>
      <w:r>
        <w:rPr>
          <w:rFonts w:hint="eastAsia" w:ascii="仿宋" w:hAnsi="仿宋" w:eastAsia="仿宋" w:cs="仿宋"/>
          <w:color w:val="auto"/>
          <w:sz w:val="32"/>
          <w:szCs w:val="32"/>
        </w:rPr>
        <w:t>市发展改革委组织专家或委托第三方机构进行评审，提出奖</w:t>
      </w:r>
      <w:r>
        <w:rPr>
          <w:rFonts w:hint="eastAsia" w:ascii="仿宋" w:hAnsi="仿宋" w:eastAsia="仿宋" w:cs="仿宋"/>
          <w:color w:val="auto"/>
          <w:sz w:val="32"/>
          <w:szCs w:val="32"/>
          <w:lang w:eastAsia="zh-CN"/>
        </w:rPr>
        <w:t>补</w:t>
      </w:r>
      <w:r>
        <w:rPr>
          <w:rFonts w:hint="eastAsia" w:ascii="仿宋" w:hAnsi="仿宋" w:eastAsia="仿宋" w:cs="仿宋"/>
          <w:color w:val="auto"/>
          <w:sz w:val="32"/>
          <w:szCs w:val="32"/>
        </w:rPr>
        <w:t>意见，在本部门网站公示5天。</w:t>
      </w:r>
    </w:p>
    <w:p w14:paraId="4CB0008F">
      <w:pPr>
        <w:keepNext w:val="0"/>
        <w:keepLines w:val="0"/>
        <w:pageBreakBefore w:val="0"/>
        <w:kinsoku/>
        <w:overflowPunct/>
        <w:topLinePunct w:val="0"/>
        <w:autoSpaceDE/>
        <w:autoSpaceDN/>
        <w:bidi w:val="0"/>
        <w:adjustRightInd/>
        <w:snapToGrid/>
        <w:spacing w:line="580" w:lineRule="exact"/>
        <w:jc w:val="center"/>
        <w:textAlignment w:val="auto"/>
        <w:rPr>
          <w:rFonts w:ascii="黑体" w:hAnsi="黑体" w:eastAsia="黑体" w:cs="黑体"/>
          <w:bCs/>
          <w:color w:val="auto"/>
          <w:sz w:val="32"/>
          <w:szCs w:val="32"/>
        </w:rPr>
      </w:pPr>
      <w:r>
        <w:rPr>
          <w:rFonts w:hint="eastAsia" w:ascii="黑体" w:hAnsi="黑体" w:eastAsia="黑体" w:cs="黑体"/>
          <w:bCs/>
          <w:color w:val="auto"/>
          <w:sz w:val="32"/>
          <w:szCs w:val="32"/>
        </w:rPr>
        <w:t>第四章 资金拨付与绩效评价</w:t>
      </w:r>
    </w:p>
    <w:p w14:paraId="4AB0DFFE">
      <w:pPr>
        <w:keepNext w:val="0"/>
        <w:keepLines w:val="0"/>
        <w:pageBreakBefore w:val="0"/>
        <w:numPr>
          <w:ilvl w:val="0"/>
          <w:numId w:val="8"/>
        </w:numPr>
        <w:kinsoku/>
        <w:overflowPunct/>
        <w:topLinePunct w:val="0"/>
        <w:autoSpaceDE/>
        <w:autoSpaceDN/>
        <w:bidi w:val="0"/>
        <w:adjustRightInd/>
        <w:snapToGrid/>
        <w:spacing w:line="580" w:lineRule="exact"/>
        <w:ind w:firstLine="640" w:firstLineChars="200"/>
        <w:textAlignment w:val="auto"/>
        <w:rPr>
          <w:rFonts w:ascii="仿宋" w:hAnsi="仿宋" w:eastAsia="仿宋" w:cs="仿宋"/>
          <w:color w:val="auto"/>
          <w:sz w:val="32"/>
          <w:szCs w:val="32"/>
        </w:rPr>
      </w:pPr>
      <w:r>
        <w:rPr>
          <w:rFonts w:hint="eastAsia" w:ascii="仿宋" w:hAnsi="仿宋" w:eastAsia="仿宋" w:cs="仿宋"/>
          <w:color w:val="auto"/>
          <w:sz w:val="32"/>
          <w:szCs w:val="32"/>
        </w:rPr>
        <w:t>公示无异议的，市发展改革委将</w:t>
      </w:r>
      <w:r>
        <w:rPr>
          <w:rFonts w:hint="eastAsia" w:ascii="仿宋" w:hAnsi="仿宋" w:eastAsia="仿宋" w:cs="仿宋"/>
          <w:color w:val="auto"/>
          <w:sz w:val="32"/>
          <w:szCs w:val="32"/>
          <w:lang w:eastAsia="zh-CN"/>
        </w:rPr>
        <w:t>补助</w:t>
      </w:r>
      <w:r>
        <w:rPr>
          <w:rFonts w:hint="eastAsia" w:ascii="仿宋" w:hAnsi="仿宋" w:eastAsia="仿宋" w:cs="仿宋"/>
          <w:color w:val="auto"/>
          <w:sz w:val="32"/>
          <w:szCs w:val="32"/>
        </w:rPr>
        <w:t>资金安排意见</w:t>
      </w:r>
      <w:r>
        <w:rPr>
          <w:rFonts w:hint="eastAsia" w:ascii="仿宋" w:hAnsi="仿宋" w:eastAsia="仿宋" w:cs="仿宋"/>
          <w:color w:val="auto"/>
          <w:sz w:val="32"/>
          <w:szCs w:val="32"/>
          <w:shd w:val="clear" w:color="auto" w:fill="FFFFFF"/>
        </w:rPr>
        <w:t>报经市政府批准后，由市财政局按程序</w:t>
      </w:r>
      <w:r>
        <w:rPr>
          <w:rFonts w:hint="eastAsia" w:ascii="仿宋" w:hAnsi="仿宋" w:eastAsia="仿宋" w:cs="仿宋"/>
          <w:color w:val="auto"/>
          <w:sz w:val="32"/>
          <w:szCs w:val="32"/>
        </w:rPr>
        <w:t>拨付</w:t>
      </w:r>
      <w:r>
        <w:rPr>
          <w:rFonts w:hint="eastAsia" w:ascii="仿宋" w:hAnsi="仿宋" w:eastAsia="仿宋" w:cs="仿宋"/>
          <w:color w:val="auto"/>
          <w:sz w:val="32"/>
          <w:szCs w:val="32"/>
          <w:lang w:eastAsia="zh-CN"/>
        </w:rPr>
        <w:t>补助</w:t>
      </w:r>
      <w:r>
        <w:rPr>
          <w:rFonts w:hint="eastAsia" w:ascii="仿宋" w:hAnsi="仿宋" w:eastAsia="仿宋" w:cs="仿宋"/>
          <w:color w:val="auto"/>
          <w:sz w:val="32"/>
          <w:szCs w:val="32"/>
        </w:rPr>
        <w:t>资金。</w:t>
      </w:r>
    </w:p>
    <w:p w14:paraId="61544412">
      <w:pPr>
        <w:keepNext w:val="0"/>
        <w:keepLines w:val="0"/>
        <w:pageBreakBefore w:val="0"/>
        <w:numPr>
          <w:ilvl w:val="0"/>
          <w:numId w:val="8"/>
        </w:numPr>
        <w:kinsoku/>
        <w:overflowPunct/>
        <w:topLinePunct w:val="0"/>
        <w:autoSpaceDE/>
        <w:autoSpaceDN/>
        <w:bidi w:val="0"/>
        <w:adjustRightInd/>
        <w:snapToGrid/>
        <w:spacing w:line="580" w:lineRule="exact"/>
        <w:ind w:firstLine="640" w:firstLineChars="200"/>
        <w:textAlignment w:val="auto"/>
        <w:rPr>
          <w:rFonts w:ascii="仿宋" w:hAnsi="仿宋" w:eastAsia="仿宋" w:cs="仿宋"/>
          <w:color w:val="auto"/>
          <w:sz w:val="32"/>
          <w:szCs w:val="32"/>
        </w:rPr>
      </w:pPr>
      <w:r>
        <w:rPr>
          <w:rFonts w:hint="eastAsia" w:ascii="仿宋" w:hAnsi="仿宋" w:eastAsia="仿宋" w:cs="仿宋"/>
          <w:color w:val="auto"/>
          <w:sz w:val="32"/>
          <w:szCs w:val="32"/>
        </w:rPr>
        <w:t>按属地管理原则，专项资金绩效目标与预算同步设定、同步审核、同步下达，加强对专项资金绩效目标实现程度和预算执行进度的“双监控”。市发展改革委对奖补资金情况进行绩效自评，并向市财政部门报送绩效自评。市财政部门适时对专项资金实施重点绩效评价，评价结果将作为预算安排的重要依据。</w:t>
      </w:r>
    </w:p>
    <w:p w14:paraId="794B3CD2">
      <w:pPr>
        <w:keepNext w:val="0"/>
        <w:keepLines w:val="0"/>
        <w:pageBreakBefore w:val="0"/>
        <w:numPr>
          <w:ilvl w:val="0"/>
          <w:numId w:val="8"/>
        </w:numPr>
        <w:kinsoku/>
        <w:overflowPunct/>
        <w:topLinePunct w:val="0"/>
        <w:autoSpaceDE/>
        <w:autoSpaceDN/>
        <w:bidi w:val="0"/>
        <w:adjustRightInd/>
        <w:snapToGrid/>
        <w:spacing w:line="580" w:lineRule="exact"/>
        <w:ind w:firstLine="640" w:firstLineChars="200"/>
        <w:textAlignment w:val="auto"/>
        <w:rPr>
          <w:rFonts w:ascii="仿宋" w:hAnsi="仿宋" w:eastAsia="仿宋" w:cs="仿宋"/>
          <w:color w:val="auto"/>
          <w:sz w:val="32"/>
          <w:szCs w:val="32"/>
        </w:rPr>
      </w:pPr>
      <w:r>
        <w:rPr>
          <w:rFonts w:hint="eastAsia" w:ascii="仿宋" w:hAnsi="仿宋" w:eastAsia="仿宋" w:cs="仿宋"/>
          <w:color w:val="auto"/>
          <w:sz w:val="32"/>
          <w:szCs w:val="32"/>
        </w:rPr>
        <w:t>对在申报过程中存在弄虚作假行为的，一经查实将取消申报单位资格，收回奖励资金，3年内取消申报资格</w:t>
      </w:r>
      <w:r>
        <w:rPr>
          <w:rFonts w:hint="eastAsia" w:ascii="仿宋" w:hAnsi="仿宋" w:eastAsia="仿宋" w:cs="仿宋"/>
          <w:color w:val="auto"/>
          <w:sz w:val="32"/>
          <w:szCs w:val="32"/>
          <w:lang w:eastAsia="zh-CN"/>
        </w:rPr>
        <w:t>，并依法依规进行处罚</w:t>
      </w:r>
      <w:r>
        <w:rPr>
          <w:rFonts w:hint="eastAsia" w:ascii="仿宋" w:hAnsi="仿宋" w:eastAsia="仿宋" w:cs="仿宋"/>
          <w:color w:val="auto"/>
          <w:sz w:val="32"/>
          <w:szCs w:val="32"/>
        </w:rPr>
        <w:t>。</w:t>
      </w:r>
    </w:p>
    <w:p w14:paraId="1260C6BD">
      <w:pPr>
        <w:keepNext w:val="0"/>
        <w:keepLines w:val="0"/>
        <w:pageBreakBefore w:val="0"/>
        <w:kinsoku/>
        <w:overflowPunct/>
        <w:topLinePunct w:val="0"/>
        <w:autoSpaceDE/>
        <w:autoSpaceDN/>
        <w:bidi w:val="0"/>
        <w:adjustRightInd/>
        <w:snapToGrid/>
        <w:spacing w:line="580" w:lineRule="exact"/>
        <w:jc w:val="center"/>
        <w:textAlignment w:val="auto"/>
        <w:rPr>
          <w:rFonts w:ascii="黑体" w:hAnsi="黑体" w:eastAsia="黑体" w:cs="黑体"/>
          <w:color w:val="auto"/>
          <w:sz w:val="32"/>
          <w:szCs w:val="32"/>
        </w:rPr>
      </w:pPr>
      <w:r>
        <w:rPr>
          <w:rFonts w:hint="eastAsia" w:ascii="黑体" w:hAnsi="黑体" w:eastAsia="黑体" w:cs="黑体"/>
          <w:color w:val="auto"/>
          <w:sz w:val="32"/>
          <w:szCs w:val="32"/>
        </w:rPr>
        <w:t>第五章 附则</w:t>
      </w:r>
    </w:p>
    <w:p w14:paraId="2A25AC2E">
      <w:pPr>
        <w:keepNext w:val="0"/>
        <w:keepLines w:val="0"/>
        <w:pageBreakBefore w:val="0"/>
        <w:numPr>
          <w:ilvl w:val="0"/>
          <w:numId w:val="8"/>
        </w:numPr>
        <w:kinsoku/>
        <w:overflowPunct/>
        <w:topLinePunct w:val="0"/>
        <w:autoSpaceDE/>
        <w:autoSpaceDN/>
        <w:bidi w:val="0"/>
        <w:adjustRightInd/>
        <w:snapToGrid/>
        <w:spacing w:line="580" w:lineRule="exact"/>
        <w:ind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rPr>
        <w:t>本细则由市发展改革委负责执行，自印发之日起实施。</w:t>
      </w:r>
      <w:r>
        <w:rPr>
          <w:rFonts w:hint="eastAsia" w:ascii="仿宋" w:hAnsi="仿宋" w:eastAsia="仿宋" w:cs="仿宋"/>
          <w:color w:val="auto"/>
          <w:sz w:val="32"/>
          <w:szCs w:val="32"/>
          <w:lang w:val="en-US" w:eastAsia="zh-CN"/>
        </w:rPr>
        <w:t xml:space="preserve"> </w:t>
      </w:r>
      <w:bookmarkStart w:id="8" w:name="_GoBack"/>
      <w:bookmarkEnd w:id="8"/>
    </w:p>
    <w:sectPr>
      <w:headerReference r:id="rId5" w:type="default"/>
      <w:footerReference r:id="rId6" w:type="default"/>
      <w:pgSz w:w="11906" w:h="16838"/>
      <w:pgMar w:top="2098" w:right="1474" w:bottom="1984" w:left="1587" w:header="851" w:footer="992" w:gutter="0"/>
      <w:pgNumType w:fmt="decimal"/>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01"/>
    <w:family w:val="auto"/>
    <w:pitch w:val="default"/>
    <w:sig w:usb0="00000000" w:usb1="00000000" w:usb2="00000001" w:usb3="00000000" w:csb0="400001BF" w:csb1="DFF7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modern"/>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仿宋">
    <w:altName w:val="方正仿宋_GBK"/>
    <w:panose1 w:val="02010609060101010101"/>
    <w:charset w:val="86"/>
    <w:family w:val="auto"/>
    <w:pitch w:val="default"/>
    <w:sig w:usb0="00000000" w:usb1="00000000" w:usb2="00000016" w:usb3="00000000" w:csb0="00040001" w:csb1="00000000"/>
  </w:font>
  <w:font w:name="楷体">
    <w:altName w:val="方正楷体_GBK"/>
    <w:panose1 w:val="02010609060101010101"/>
    <w:charset w:val="86"/>
    <w:family w:val="auto"/>
    <w:pitch w:val="default"/>
    <w:sig w:usb0="00000000" w:usb1="00000000" w:usb2="00000016" w:usb3="00000000" w:csb0="00040001"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59EA85">
    <w:pPr>
      <w:pStyle w:val="9"/>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2BA8C8D">
                          <w:pPr>
                            <w:snapToGrid w:val="0"/>
                            <w:rPr>
                              <w:rFonts w:hint="eastAsia" w:eastAsiaTheme="minorEastAsia"/>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rFonts w:hint="eastAsia"/>
                              <w:sz w:val="18"/>
                              <w:lang w:eastAsia="zh-CN"/>
                            </w:rPr>
                            <w:t>1</w:t>
                          </w:r>
                          <w:r>
                            <w:rPr>
                              <w:rFonts w:hint="eastAsia"/>
                              <w:sz w:val="1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12BA8C8D">
                    <w:pPr>
                      <w:snapToGrid w:val="0"/>
                      <w:rPr>
                        <w:rFonts w:hint="eastAsia" w:eastAsiaTheme="minorEastAsia"/>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rFonts w:hint="eastAsia"/>
                        <w:sz w:val="18"/>
                        <w:lang w:eastAsia="zh-CN"/>
                      </w:rPr>
                      <w:t>1</w:t>
                    </w:r>
                    <w:r>
                      <w:rPr>
                        <w:rFonts w:hint="eastAsia"/>
                        <w:sz w:val="18"/>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C62207">
    <w:pPr>
      <w:widowControl w:val="0"/>
      <w:tabs>
        <w:tab w:val="center" w:pos="4153"/>
        <w:tab w:val="right" w:pos="8306"/>
      </w:tabs>
      <w:snapToGrid w:val="0"/>
      <w:jc w:val="left"/>
      <w:rPr>
        <w:rFonts w:ascii="Calibri" w:hAnsi="Calibri" w:eastAsia="宋体" w:cs="Times New Roman"/>
        <w:kern w:val="2"/>
        <w:sz w:val="18"/>
        <w:szCs w:val="22"/>
        <w:lang w:val="en-US" w:eastAsia="zh-CN" w:bidi="ar-SA"/>
      </w:rPr>
    </w:pPr>
    <w:r>
      <w:rPr>
        <w:rFonts w:ascii="Calibri" w:hAnsi="Calibri" w:eastAsia="宋体" w:cs="Times New Roman"/>
        <w:kern w:val="2"/>
        <w:sz w:val="18"/>
        <w:szCs w:val="22"/>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37DC3520">
                          <w:pPr>
                            <w:widowControl w:val="0"/>
                            <w:tabs>
                              <w:tab w:val="center" w:pos="4153"/>
                              <w:tab w:val="right" w:pos="8306"/>
                            </w:tabs>
                            <w:snapToGrid w:val="0"/>
                            <w:jc w:val="left"/>
                            <w:rPr>
                              <w:rFonts w:hint="eastAsia" w:ascii="Calibri" w:hAnsi="Calibri" w:eastAsia="宋体" w:cs="Times New Roman"/>
                              <w:kern w:val="2"/>
                              <w:sz w:val="18"/>
                              <w:szCs w:val="22"/>
                              <w:lang w:val="en-US" w:eastAsia="zh-CN" w:bidi="ar-SA"/>
                            </w:rPr>
                          </w:pPr>
                          <w:r>
                            <w:rPr>
                              <w:rFonts w:hint="eastAsia" w:ascii="Calibri" w:hAnsi="Calibri" w:eastAsia="宋体" w:cs="Times New Roman"/>
                              <w:kern w:val="2"/>
                              <w:sz w:val="18"/>
                              <w:szCs w:val="22"/>
                              <w:lang w:val="en-US" w:eastAsia="zh-CN" w:bidi="ar-SA"/>
                            </w:rPr>
                            <w:fldChar w:fldCharType="begin"/>
                          </w:r>
                          <w:r>
                            <w:rPr>
                              <w:rFonts w:hint="eastAsia" w:ascii="Calibri" w:hAnsi="Calibri" w:eastAsia="宋体" w:cs="Times New Roman"/>
                              <w:kern w:val="2"/>
                              <w:sz w:val="18"/>
                              <w:szCs w:val="22"/>
                              <w:lang w:val="en-US" w:eastAsia="zh-CN" w:bidi="ar-SA"/>
                            </w:rPr>
                            <w:instrText xml:space="preserve"> PAGE  \* MERGEFORMAT </w:instrText>
                          </w:r>
                          <w:r>
                            <w:rPr>
                              <w:rFonts w:hint="eastAsia" w:ascii="Calibri" w:hAnsi="Calibri" w:eastAsia="宋体" w:cs="Times New Roman"/>
                              <w:kern w:val="2"/>
                              <w:sz w:val="18"/>
                              <w:szCs w:val="22"/>
                              <w:lang w:val="en-US" w:eastAsia="zh-CN" w:bidi="ar-SA"/>
                            </w:rPr>
                            <w:fldChar w:fldCharType="separate"/>
                          </w:r>
                          <w:r>
                            <w:rPr>
                              <w:rFonts w:hint="eastAsia" w:ascii="Calibri" w:hAnsi="Calibri" w:eastAsia="宋体" w:cs="Times New Roman"/>
                              <w:kern w:val="2"/>
                              <w:sz w:val="18"/>
                              <w:szCs w:val="22"/>
                              <w:lang w:val="en-US" w:eastAsia="zh-CN" w:bidi="ar-SA"/>
                            </w:rPr>
                            <w:t>12</w:t>
                          </w:r>
                          <w:r>
                            <w:rPr>
                              <w:rFonts w:hint="eastAsia" w:ascii="Calibri" w:hAnsi="Calibri" w:eastAsia="宋体" w:cs="Times New Roman"/>
                              <w:kern w:val="2"/>
                              <w:sz w:val="18"/>
                              <w:szCs w:val="22"/>
                              <w:lang w:val="en-US" w:eastAsia="zh-CN" w:bidi="ar-SA"/>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zSVju0AAAAAUBAAAPAAAAAAAAAAEAIAAAACIAAABkcnMvZG93bnJldi54bWxQ&#10;SwECFAAUAAAACACHTuJA/z8DRzgCAABvBAAADgAAAAAAAAABACAAAAAfAQAAZHJzL2Uyb0RvYy54&#10;bWxQSwUGAAAAAAYABgBZAQAAyQUAAAAA&#10;">
              <v:fill on="f" focussize="0,0"/>
              <v:stroke on="f" weight="0.5pt"/>
              <v:imagedata o:title=""/>
              <o:lock v:ext="edit" aspectratio="f"/>
              <v:textbox inset="0mm,0mm,0mm,0mm" style="mso-fit-shape-to-text:t;">
                <w:txbxContent>
                  <w:p w14:paraId="37DC3520">
                    <w:pPr>
                      <w:widowControl w:val="0"/>
                      <w:tabs>
                        <w:tab w:val="center" w:pos="4153"/>
                        <w:tab w:val="right" w:pos="8306"/>
                      </w:tabs>
                      <w:snapToGrid w:val="0"/>
                      <w:jc w:val="left"/>
                      <w:rPr>
                        <w:rFonts w:hint="eastAsia" w:ascii="Calibri" w:hAnsi="Calibri" w:eastAsia="宋体" w:cs="Times New Roman"/>
                        <w:kern w:val="2"/>
                        <w:sz w:val="18"/>
                        <w:szCs w:val="22"/>
                        <w:lang w:val="en-US" w:eastAsia="zh-CN" w:bidi="ar-SA"/>
                      </w:rPr>
                    </w:pPr>
                    <w:r>
                      <w:rPr>
                        <w:rFonts w:hint="eastAsia" w:ascii="Calibri" w:hAnsi="Calibri" w:eastAsia="宋体" w:cs="Times New Roman"/>
                        <w:kern w:val="2"/>
                        <w:sz w:val="18"/>
                        <w:szCs w:val="22"/>
                        <w:lang w:val="en-US" w:eastAsia="zh-CN" w:bidi="ar-SA"/>
                      </w:rPr>
                      <w:fldChar w:fldCharType="begin"/>
                    </w:r>
                    <w:r>
                      <w:rPr>
                        <w:rFonts w:hint="eastAsia" w:ascii="Calibri" w:hAnsi="Calibri" w:eastAsia="宋体" w:cs="Times New Roman"/>
                        <w:kern w:val="2"/>
                        <w:sz w:val="18"/>
                        <w:szCs w:val="22"/>
                        <w:lang w:val="en-US" w:eastAsia="zh-CN" w:bidi="ar-SA"/>
                      </w:rPr>
                      <w:instrText xml:space="preserve"> PAGE  \* MERGEFORMAT </w:instrText>
                    </w:r>
                    <w:r>
                      <w:rPr>
                        <w:rFonts w:hint="eastAsia" w:ascii="Calibri" w:hAnsi="Calibri" w:eastAsia="宋体" w:cs="Times New Roman"/>
                        <w:kern w:val="2"/>
                        <w:sz w:val="18"/>
                        <w:szCs w:val="22"/>
                        <w:lang w:val="en-US" w:eastAsia="zh-CN" w:bidi="ar-SA"/>
                      </w:rPr>
                      <w:fldChar w:fldCharType="separate"/>
                    </w:r>
                    <w:r>
                      <w:rPr>
                        <w:rFonts w:hint="eastAsia" w:ascii="Calibri" w:hAnsi="Calibri" w:eastAsia="宋体" w:cs="Times New Roman"/>
                        <w:kern w:val="2"/>
                        <w:sz w:val="18"/>
                        <w:szCs w:val="22"/>
                        <w:lang w:val="en-US" w:eastAsia="zh-CN" w:bidi="ar-SA"/>
                      </w:rPr>
                      <w:t>12</w:t>
                    </w:r>
                    <w:r>
                      <w:rPr>
                        <w:rFonts w:hint="eastAsia" w:ascii="Calibri" w:hAnsi="Calibri" w:eastAsia="宋体" w:cs="Times New Roman"/>
                        <w:kern w:val="2"/>
                        <w:sz w:val="18"/>
                        <w:szCs w:val="22"/>
                        <w:lang w:val="en-US" w:eastAsia="zh-CN" w:bidi="ar-SA"/>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B19EB9">
    <w:pPr>
      <w:pStyle w:val="10"/>
      <w:jc w:val="right"/>
      <w:rPr>
        <w:rFonts w:hint="eastAsia" w:ascii="楷体" w:hAnsi="楷体" w:eastAsia="楷体" w:cs="楷体"/>
        <w:sz w:val="28"/>
        <w:szCs w:val="28"/>
        <w:lang w:val="en-US" w:eastAsia="zh-CN"/>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EB6691">
    <w:pPr>
      <w:widowControl w:val="0"/>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right"/>
      <w:outlineLvl w:val="9"/>
      <w:rPr>
        <w:rFonts w:hint="eastAsia" w:ascii="楷体" w:hAnsi="楷体" w:eastAsia="楷体" w:cs="楷体"/>
        <w:kern w:val="2"/>
        <w:sz w:val="28"/>
        <w:szCs w:val="28"/>
        <w:lang w:val="en-US" w:eastAsia="zh-CN" w:bidi="ar-S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6F4FE2E"/>
    <w:multiLevelType w:val="singleLevel"/>
    <w:tmpl w:val="B6F4FE2E"/>
    <w:lvl w:ilvl="0" w:tentative="0">
      <w:start w:val="1"/>
      <w:numFmt w:val="chineseCounting"/>
      <w:suff w:val="space"/>
      <w:lvlText w:val="第%1章"/>
      <w:lvlJc w:val="left"/>
      <w:pPr>
        <w:tabs>
          <w:tab w:val="left" w:pos="0"/>
        </w:tabs>
        <w:ind w:firstLine="40"/>
      </w:pPr>
      <w:rPr>
        <w:rFonts w:hint="eastAsia" w:ascii="黑体" w:hAnsi="黑体" w:eastAsia="黑体" w:cs="黑体"/>
        <w:sz w:val="32"/>
        <w:szCs w:val="32"/>
        <w:highlight w:val="none"/>
      </w:rPr>
    </w:lvl>
  </w:abstractNum>
  <w:abstractNum w:abstractNumId="1">
    <w:nsid w:val="B85FABFB"/>
    <w:multiLevelType w:val="singleLevel"/>
    <w:tmpl w:val="B85FABFB"/>
    <w:lvl w:ilvl="0" w:tentative="0">
      <w:start w:val="1"/>
      <w:numFmt w:val="chineseCounting"/>
      <w:suff w:val="space"/>
      <w:lvlText w:val="第%1条"/>
      <w:lvlJc w:val="left"/>
      <w:pPr>
        <w:tabs>
          <w:tab w:val="left" w:pos="0"/>
        </w:tabs>
        <w:ind w:left="0" w:firstLine="40"/>
      </w:pPr>
      <w:rPr>
        <w:rFonts w:hint="eastAsia" w:ascii="黑体" w:hAnsi="黑体" w:eastAsia="黑体" w:cs="黑体"/>
        <w:b w:val="0"/>
        <w:bCs/>
        <w:color w:val="auto"/>
        <w:sz w:val="32"/>
      </w:rPr>
    </w:lvl>
  </w:abstractNum>
  <w:abstractNum w:abstractNumId="2">
    <w:nsid w:val="BB47829E"/>
    <w:multiLevelType w:val="singleLevel"/>
    <w:tmpl w:val="BB47829E"/>
    <w:lvl w:ilvl="0" w:tentative="0">
      <w:start w:val="1"/>
      <w:numFmt w:val="chineseCounting"/>
      <w:suff w:val="space"/>
      <w:lvlText w:val="第%1条"/>
      <w:lvlJc w:val="left"/>
      <w:pPr>
        <w:tabs>
          <w:tab w:val="left" w:pos="0"/>
        </w:tabs>
        <w:ind w:left="0" w:firstLine="40"/>
      </w:pPr>
      <w:rPr>
        <w:rFonts w:hint="eastAsia" w:ascii="黑体" w:hAnsi="黑体" w:eastAsia="黑体" w:cs="黑体"/>
        <w:b w:val="0"/>
        <w:bCs/>
        <w:color w:val="auto"/>
        <w:sz w:val="32"/>
      </w:rPr>
    </w:lvl>
  </w:abstractNum>
  <w:abstractNum w:abstractNumId="3">
    <w:nsid w:val="D7477ECD"/>
    <w:multiLevelType w:val="singleLevel"/>
    <w:tmpl w:val="D7477ECD"/>
    <w:lvl w:ilvl="0" w:tentative="0">
      <w:start w:val="1"/>
      <w:numFmt w:val="decimalFullWidth"/>
      <w:suff w:val="nothing"/>
      <w:lvlText w:val="细则%1"/>
      <w:lvlJc w:val="left"/>
      <w:pPr>
        <w:tabs>
          <w:tab w:val="left" w:pos="0"/>
        </w:tabs>
        <w:ind w:left="0" w:firstLine="0"/>
      </w:pPr>
      <w:rPr>
        <w:rFonts w:hint="eastAsia" w:ascii="黑体" w:hAnsi="黑体" w:eastAsia="黑体" w:cs="黑体"/>
        <w:sz w:val="32"/>
        <w:szCs w:val="32"/>
      </w:rPr>
    </w:lvl>
  </w:abstractNum>
  <w:abstractNum w:abstractNumId="4">
    <w:nsid w:val="1E8871DA"/>
    <w:multiLevelType w:val="singleLevel"/>
    <w:tmpl w:val="1E8871DA"/>
    <w:lvl w:ilvl="0" w:tentative="0">
      <w:start w:val="1"/>
      <w:numFmt w:val="chineseCounting"/>
      <w:suff w:val="space"/>
      <w:lvlText w:val="第%1条"/>
      <w:lvlJc w:val="left"/>
      <w:pPr>
        <w:tabs>
          <w:tab w:val="left" w:pos="0"/>
        </w:tabs>
        <w:ind w:firstLine="40"/>
      </w:pPr>
      <w:rPr>
        <w:rFonts w:hint="eastAsia" w:eastAsia="黑体"/>
      </w:rPr>
    </w:lvl>
  </w:abstractNum>
  <w:abstractNum w:abstractNumId="5">
    <w:nsid w:val="351B9A8F"/>
    <w:multiLevelType w:val="singleLevel"/>
    <w:tmpl w:val="351B9A8F"/>
    <w:lvl w:ilvl="0" w:tentative="0">
      <w:start w:val="1"/>
      <w:numFmt w:val="chineseCounting"/>
      <w:suff w:val="space"/>
      <w:lvlText w:val="第%1条"/>
      <w:lvlJc w:val="left"/>
      <w:pPr>
        <w:tabs>
          <w:tab w:val="left" w:pos="0"/>
        </w:tabs>
        <w:ind w:firstLine="40"/>
      </w:pPr>
      <w:rPr>
        <w:rFonts w:hint="eastAsia" w:eastAsia="黑体"/>
      </w:rPr>
    </w:lvl>
  </w:abstractNum>
  <w:abstractNum w:abstractNumId="6">
    <w:nsid w:val="38606844"/>
    <w:multiLevelType w:val="singleLevel"/>
    <w:tmpl w:val="38606844"/>
    <w:lvl w:ilvl="0" w:tentative="0">
      <w:start w:val="1"/>
      <w:numFmt w:val="chineseCounting"/>
      <w:suff w:val="space"/>
      <w:lvlText w:val="第%1章"/>
      <w:lvlJc w:val="left"/>
      <w:pPr>
        <w:tabs>
          <w:tab w:val="left" w:pos="0"/>
        </w:tabs>
        <w:ind w:firstLine="40"/>
      </w:pPr>
      <w:rPr>
        <w:rFonts w:hint="eastAsia" w:ascii="黑体" w:hAnsi="黑体" w:eastAsia="黑体" w:cs="黑体"/>
        <w:sz w:val="32"/>
        <w:szCs w:val="32"/>
        <w:highlight w:val="none"/>
      </w:rPr>
    </w:lvl>
  </w:abstractNum>
  <w:abstractNum w:abstractNumId="7">
    <w:nsid w:val="56C8221C"/>
    <w:multiLevelType w:val="singleLevel"/>
    <w:tmpl w:val="56C8221C"/>
    <w:lvl w:ilvl="0" w:tentative="0">
      <w:start w:val="1"/>
      <w:numFmt w:val="chineseCounting"/>
      <w:suff w:val="space"/>
      <w:lvlText w:val="第%1章"/>
      <w:lvlJc w:val="left"/>
      <w:pPr>
        <w:tabs>
          <w:tab w:val="left" w:pos="0"/>
        </w:tabs>
        <w:ind w:firstLine="40"/>
      </w:pPr>
      <w:rPr>
        <w:rFonts w:hint="eastAsia" w:ascii="黑体" w:hAnsi="黑体" w:eastAsia="黑体" w:cs="黑体"/>
        <w:sz w:val="32"/>
        <w:szCs w:val="32"/>
        <w:highlight w:val="none"/>
      </w:rPr>
    </w:lvl>
  </w:abstractNum>
  <w:num w:numId="1">
    <w:abstractNumId w:val="6"/>
  </w:num>
  <w:num w:numId="2">
    <w:abstractNumId w:val="2"/>
  </w:num>
  <w:num w:numId="3">
    <w:abstractNumId w:val="7"/>
  </w:num>
  <w:num w:numId="4">
    <w:abstractNumId w:val="1"/>
  </w:num>
  <w:num w:numId="5">
    <w:abstractNumId w:val="3"/>
  </w:num>
  <w:num w:numId="6">
    <w:abstractNumId w:val="0"/>
  </w:num>
  <w:num w:numId="7">
    <w:abstractNumId w:val="4"/>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NotDisplayPageBoundaries w:val="1"/>
  <w:embedTrueTypeFonts/>
  <w:saveSubsetFonts/>
  <w:bordersDoNotSurroundHeader w:val="0"/>
  <w:bordersDoNotSurroundFooter w:val="0"/>
  <w:documentProtection w:enforcement="0"/>
  <w:defaultTabStop w:val="420"/>
  <w:hyphenationZone w:val="360"/>
  <w:drawingGridVerticalSpacing w:val="156"/>
  <w:displayHorizontalDrawingGridEvery w:val="1"/>
  <w:displayVerticalDrawingGridEvery w:val="1"/>
  <w:noPunctuationKerning w:val="1"/>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JmYzQwNzUyZWY4Y2E4M2FkM2Y4Zjc3MDE0M2YwODkifQ=="/>
  </w:docVars>
  <w:rsids>
    <w:rsidRoot w:val="00000000"/>
    <w:rsid w:val="00031639"/>
    <w:rsid w:val="00327E3C"/>
    <w:rsid w:val="005B6DC3"/>
    <w:rsid w:val="006956E0"/>
    <w:rsid w:val="006B7992"/>
    <w:rsid w:val="007A75C2"/>
    <w:rsid w:val="008D3EBA"/>
    <w:rsid w:val="00B10A63"/>
    <w:rsid w:val="00C669AC"/>
    <w:rsid w:val="00CD3FA8"/>
    <w:rsid w:val="00D82D47"/>
    <w:rsid w:val="00E541CF"/>
    <w:rsid w:val="00F6012C"/>
    <w:rsid w:val="01214089"/>
    <w:rsid w:val="01306B1F"/>
    <w:rsid w:val="01620846"/>
    <w:rsid w:val="017A2852"/>
    <w:rsid w:val="017C6D83"/>
    <w:rsid w:val="01987FE8"/>
    <w:rsid w:val="01AA7D1B"/>
    <w:rsid w:val="01F132F1"/>
    <w:rsid w:val="020A7130"/>
    <w:rsid w:val="02162CE0"/>
    <w:rsid w:val="02194B85"/>
    <w:rsid w:val="022649C7"/>
    <w:rsid w:val="023B323C"/>
    <w:rsid w:val="031E5E0F"/>
    <w:rsid w:val="033C1300"/>
    <w:rsid w:val="0358571A"/>
    <w:rsid w:val="036F35F5"/>
    <w:rsid w:val="03742826"/>
    <w:rsid w:val="038B3DD7"/>
    <w:rsid w:val="03D27B86"/>
    <w:rsid w:val="03D825DD"/>
    <w:rsid w:val="03D941B7"/>
    <w:rsid w:val="03E26D1D"/>
    <w:rsid w:val="044A6E94"/>
    <w:rsid w:val="0483114E"/>
    <w:rsid w:val="04A108BA"/>
    <w:rsid w:val="04B934CE"/>
    <w:rsid w:val="04E768D5"/>
    <w:rsid w:val="0512346C"/>
    <w:rsid w:val="051C253A"/>
    <w:rsid w:val="0535097A"/>
    <w:rsid w:val="056E0BB8"/>
    <w:rsid w:val="05717E7D"/>
    <w:rsid w:val="05750D9B"/>
    <w:rsid w:val="058A673C"/>
    <w:rsid w:val="05AC258D"/>
    <w:rsid w:val="06105960"/>
    <w:rsid w:val="06925ED1"/>
    <w:rsid w:val="06983C44"/>
    <w:rsid w:val="06AE0A27"/>
    <w:rsid w:val="06BE7553"/>
    <w:rsid w:val="07062D9A"/>
    <w:rsid w:val="07311E8C"/>
    <w:rsid w:val="07364EDF"/>
    <w:rsid w:val="074F2609"/>
    <w:rsid w:val="077E6C6F"/>
    <w:rsid w:val="07902F1E"/>
    <w:rsid w:val="079978CB"/>
    <w:rsid w:val="07BD00C0"/>
    <w:rsid w:val="07D457D4"/>
    <w:rsid w:val="07DE5710"/>
    <w:rsid w:val="07DF7028"/>
    <w:rsid w:val="07E90005"/>
    <w:rsid w:val="0802695F"/>
    <w:rsid w:val="080F6B2A"/>
    <w:rsid w:val="08275D1F"/>
    <w:rsid w:val="082C0E04"/>
    <w:rsid w:val="08381B0A"/>
    <w:rsid w:val="08576860"/>
    <w:rsid w:val="085E2667"/>
    <w:rsid w:val="08666C13"/>
    <w:rsid w:val="08965615"/>
    <w:rsid w:val="089A6197"/>
    <w:rsid w:val="08BA1F5F"/>
    <w:rsid w:val="08EA67AB"/>
    <w:rsid w:val="094B5D20"/>
    <w:rsid w:val="09514675"/>
    <w:rsid w:val="09696DCA"/>
    <w:rsid w:val="096C4F08"/>
    <w:rsid w:val="09827A85"/>
    <w:rsid w:val="09CE6B98"/>
    <w:rsid w:val="09E76392"/>
    <w:rsid w:val="09FA05D5"/>
    <w:rsid w:val="0A1D3FD0"/>
    <w:rsid w:val="0A650C83"/>
    <w:rsid w:val="0A7260B0"/>
    <w:rsid w:val="0AB5146D"/>
    <w:rsid w:val="0AB6590A"/>
    <w:rsid w:val="0AF67D1A"/>
    <w:rsid w:val="0B1D0C3B"/>
    <w:rsid w:val="0B9632B6"/>
    <w:rsid w:val="0C06741F"/>
    <w:rsid w:val="0C0F0A88"/>
    <w:rsid w:val="0C105D5F"/>
    <w:rsid w:val="0C1B0148"/>
    <w:rsid w:val="0C5C7620"/>
    <w:rsid w:val="0C610DD2"/>
    <w:rsid w:val="0C7131E2"/>
    <w:rsid w:val="0C867827"/>
    <w:rsid w:val="0C8A490C"/>
    <w:rsid w:val="0CAF1675"/>
    <w:rsid w:val="0CE95B9C"/>
    <w:rsid w:val="0CFE7538"/>
    <w:rsid w:val="0D3A4347"/>
    <w:rsid w:val="0D6F75E9"/>
    <w:rsid w:val="0D756697"/>
    <w:rsid w:val="0DA61635"/>
    <w:rsid w:val="0DC932D7"/>
    <w:rsid w:val="0DD42E1F"/>
    <w:rsid w:val="0DE6108E"/>
    <w:rsid w:val="0DF63C10"/>
    <w:rsid w:val="0E173209"/>
    <w:rsid w:val="0E625C06"/>
    <w:rsid w:val="0E651696"/>
    <w:rsid w:val="0E6F7633"/>
    <w:rsid w:val="0ED02A0C"/>
    <w:rsid w:val="0ED70B14"/>
    <w:rsid w:val="0EF62E6A"/>
    <w:rsid w:val="0EF65B61"/>
    <w:rsid w:val="0F0D5C0D"/>
    <w:rsid w:val="0F2150FA"/>
    <w:rsid w:val="0F3B2AC6"/>
    <w:rsid w:val="0F412031"/>
    <w:rsid w:val="0F5F5BE5"/>
    <w:rsid w:val="0F721F4F"/>
    <w:rsid w:val="0F9206A1"/>
    <w:rsid w:val="0FB73317"/>
    <w:rsid w:val="0FB86DD8"/>
    <w:rsid w:val="0FE06847"/>
    <w:rsid w:val="0FFE060C"/>
    <w:rsid w:val="0FFE177E"/>
    <w:rsid w:val="101621FB"/>
    <w:rsid w:val="10613D86"/>
    <w:rsid w:val="10CF220E"/>
    <w:rsid w:val="10EB7E81"/>
    <w:rsid w:val="11254D44"/>
    <w:rsid w:val="1142317F"/>
    <w:rsid w:val="1187182B"/>
    <w:rsid w:val="11AB413B"/>
    <w:rsid w:val="11B26AA7"/>
    <w:rsid w:val="120C46F7"/>
    <w:rsid w:val="1212549A"/>
    <w:rsid w:val="12283288"/>
    <w:rsid w:val="12467C97"/>
    <w:rsid w:val="12896331"/>
    <w:rsid w:val="12A4455C"/>
    <w:rsid w:val="12B46304"/>
    <w:rsid w:val="13672FC3"/>
    <w:rsid w:val="137608BB"/>
    <w:rsid w:val="137A1C22"/>
    <w:rsid w:val="13B9055E"/>
    <w:rsid w:val="13D12ED1"/>
    <w:rsid w:val="142D7947"/>
    <w:rsid w:val="143F476B"/>
    <w:rsid w:val="14475F3D"/>
    <w:rsid w:val="144C5E53"/>
    <w:rsid w:val="14954A9F"/>
    <w:rsid w:val="14A63AA2"/>
    <w:rsid w:val="14E073F8"/>
    <w:rsid w:val="14EC24C5"/>
    <w:rsid w:val="15100C5E"/>
    <w:rsid w:val="15156F9F"/>
    <w:rsid w:val="155F4337"/>
    <w:rsid w:val="15703F9F"/>
    <w:rsid w:val="158650D0"/>
    <w:rsid w:val="15881F06"/>
    <w:rsid w:val="15897F1C"/>
    <w:rsid w:val="15904FB0"/>
    <w:rsid w:val="15E15093"/>
    <w:rsid w:val="15ED7211"/>
    <w:rsid w:val="161A195C"/>
    <w:rsid w:val="161A5E8B"/>
    <w:rsid w:val="163648C5"/>
    <w:rsid w:val="163A1216"/>
    <w:rsid w:val="16580B51"/>
    <w:rsid w:val="166E0220"/>
    <w:rsid w:val="167A7865"/>
    <w:rsid w:val="16E65F8A"/>
    <w:rsid w:val="16E85A7D"/>
    <w:rsid w:val="171133B9"/>
    <w:rsid w:val="1736795F"/>
    <w:rsid w:val="17422F23"/>
    <w:rsid w:val="176309C9"/>
    <w:rsid w:val="17681DB3"/>
    <w:rsid w:val="177476A8"/>
    <w:rsid w:val="177B7C91"/>
    <w:rsid w:val="17923E4A"/>
    <w:rsid w:val="17AF04C6"/>
    <w:rsid w:val="17C0058C"/>
    <w:rsid w:val="17D3434F"/>
    <w:rsid w:val="17FA3FEF"/>
    <w:rsid w:val="18032742"/>
    <w:rsid w:val="181C4330"/>
    <w:rsid w:val="185E4ADE"/>
    <w:rsid w:val="1894725F"/>
    <w:rsid w:val="19191363"/>
    <w:rsid w:val="192B7DD3"/>
    <w:rsid w:val="192E691B"/>
    <w:rsid w:val="19503F72"/>
    <w:rsid w:val="19526A87"/>
    <w:rsid w:val="196B1D23"/>
    <w:rsid w:val="198D0080"/>
    <w:rsid w:val="19B94B48"/>
    <w:rsid w:val="19FD77AE"/>
    <w:rsid w:val="1A256CE5"/>
    <w:rsid w:val="1A2C165D"/>
    <w:rsid w:val="1A43155A"/>
    <w:rsid w:val="1A473F02"/>
    <w:rsid w:val="1A525004"/>
    <w:rsid w:val="1A640783"/>
    <w:rsid w:val="1A754BD7"/>
    <w:rsid w:val="1A8232DB"/>
    <w:rsid w:val="1A8E0743"/>
    <w:rsid w:val="1A9C78F4"/>
    <w:rsid w:val="1AAA52FF"/>
    <w:rsid w:val="1AAC41C5"/>
    <w:rsid w:val="1AB239A0"/>
    <w:rsid w:val="1AF9479B"/>
    <w:rsid w:val="1B025804"/>
    <w:rsid w:val="1B0E0767"/>
    <w:rsid w:val="1B0E2D25"/>
    <w:rsid w:val="1B173211"/>
    <w:rsid w:val="1B611E83"/>
    <w:rsid w:val="1B7343F4"/>
    <w:rsid w:val="1B7B46FC"/>
    <w:rsid w:val="1B7B7D46"/>
    <w:rsid w:val="1B810CB0"/>
    <w:rsid w:val="1B8A787E"/>
    <w:rsid w:val="1B9862CF"/>
    <w:rsid w:val="1BBE0EF9"/>
    <w:rsid w:val="1C753DBA"/>
    <w:rsid w:val="1C941864"/>
    <w:rsid w:val="1CA26966"/>
    <w:rsid w:val="1CB960B8"/>
    <w:rsid w:val="1CD07701"/>
    <w:rsid w:val="1CD87CDD"/>
    <w:rsid w:val="1D0651B4"/>
    <w:rsid w:val="1D1672E2"/>
    <w:rsid w:val="1D22311E"/>
    <w:rsid w:val="1D2B03A3"/>
    <w:rsid w:val="1D325A11"/>
    <w:rsid w:val="1D3A7C11"/>
    <w:rsid w:val="1D440125"/>
    <w:rsid w:val="1D8611E5"/>
    <w:rsid w:val="1DB95116"/>
    <w:rsid w:val="1DD40324"/>
    <w:rsid w:val="1DE56809"/>
    <w:rsid w:val="1E3F4E76"/>
    <w:rsid w:val="1E8C0BA0"/>
    <w:rsid w:val="1E8D5A9A"/>
    <w:rsid w:val="1EA43D27"/>
    <w:rsid w:val="1EAB0079"/>
    <w:rsid w:val="1EAF3E80"/>
    <w:rsid w:val="1ED24781"/>
    <w:rsid w:val="1EEF5843"/>
    <w:rsid w:val="1F0235EE"/>
    <w:rsid w:val="1F0F2876"/>
    <w:rsid w:val="1F1452E5"/>
    <w:rsid w:val="1F2271BD"/>
    <w:rsid w:val="1F541CA5"/>
    <w:rsid w:val="1F850AF6"/>
    <w:rsid w:val="1F8F7B95"/>
    <w:rsid w:val="1FA73ACD"/>
    <w:rsid w:val="1FD22143"/>
    <w:rsid w:val="1FDA31FF"/>
    <w:rsid w:val="200C0615"/>
    <w:rsid w:val="20186681"/>
    <w:rsid w:val="20406450"/>
    <w:rsid w:val="205A3CF6"/>
    <w:rsid w:val="206215A1"/>
    <w:rsid w:val="207040D2"/>
    <w:rsid w:val="20987157"/>
    <w:rsid w:val="20CD13C2"/>
    <w:rsid w:val="20DF025E"/>
    <w:rsid w:val="211D54CF"/>
    <w:rsid w:val="216313AE"/>
    <w:rsid w:val="218E2091"/>
    <w:rsid w:val="21DB3061"/>
    <w:rsid w:val="21E11FC8"/>
    <w:rsid w:val="21E8421C"/>
    <w:rsid w:val="22350BCF"/>
    <w:rsid w:val="223B07BD"/>
    <w:rsid w:val="22765E64"/>
    <w:rsid w:val="2298684B"/>
    <w:rsid w:val="22C97298"/>
    <w:rsid w:val="22D67AA7"/>
    <w:rsid w:val="22E754F7"/>
    <w:rsid w:val="23000C41"/>
    <w:rsid w:val="2328740A"/>
    <w:rsid w:val="232E6242"/>
    <w:rsid w:val="236F0F20"/>
    <w:rsid w:val="23981ED4"/>
    <w:rsid w:val="23A1676C"/>
    <w:rsid w:val="23D17B83"/>
    <w:rsid w:val="23F53FD6"/>
    <w:rsid w:val="24245062"/>
    <w:rsid w:val="244646B9"/>
    <w:rsid w:val="244C0FB4"/>
    <w:rsid w:val="245E3F48"/>
    <w:rsid w:val="246A01D6"/>
    <w:rsid w:val="24A64C6F"/>
    <w:rsid w:val="24F215BA"/>
    <w:rsid w:val="25191639"/>
    <w:rsid w:val="251C5808"/>
    <w:rsid w:val="25275570"/>
    <w:rsid w:val="25574EA8"/>
    <w:rsid w:val="25815659"/>
    <w:rsid w:val="25B60CE6"/>
    <w:rsid w:val="25F413BC"/>
    <w:rsid w:val="25F87F1B"/>
    <w:rsid w:val="2620446F"/>
    <w:rsid w:val="26207C9C"/>
    <w:rsid w:val="263F5CB8"/>
    <w:rsid w:val="26410AEB"/>
    <w:rsid w:val="26461DA2"/>
    <w:rsid w:val="267E1573"/>
    <w:rsid w:val="26D3188B"/>
    <w:rsid w:val="26E01DE7"/>
    <w:rsid w:val="27061AED"/>
    <w:rsid w:val="270712BF"/>
    <w:rsid w:val="27587328"/>
    <w:rsid w:val="275B2318"/>
    <w:rsid w:val="277F0EAE"/>
    <w:rsid w:val="27895904"/>
    <w:rsid w:val="27982240"/>
    <w:rsid w:val="27990855"/>
    <w:rsid w:val="27CE12C8"/>
    <w:rsid w:val="28A06770"/>
    <w:rsid w:val="28C23660"/>
    <w:rsid w:val="28C4762D"/>
    <w:rsid w:val="28CB508F"/>
    <w:rsid w:val="28FC0BB1"/>
    <w:rsid w:val="29565E0F"/>
    <w:rsid w:val="29904122"/>
    <w:rsid w:val="299638D1"/>
    <w:rsid w:val="29B063B1"/>
    <w:rsid w:val="29E73C50"/>
    <w:rsid w:val="2A007C2F"/>
    <w:rsid w:val="2A0C5B78"/>
    <w:rsid w:val="2A1D74B6"/>
    <w:rsid w:val="2A2D62A9"/>
    <w:rsid w:val="2A7556D8"/>
    <w:rsid w:val="2A76600A"/>
    <w:rsid w:val="2A805280"/>
    <w:rsid w:val="2B2C4AB7"/>
    <w:rsid w:val="2B3D3F2B"/>
    <w:rsid w:val="2B5B2A9C"/>
    <w:rsid w:val="2B5F745C"/>
    <w:rsid w:val="2B8F747E"/>
    <w:rsid w:val="2BFC69F7"/>
    <w:rsid w:val="2C3E6E94"/>
    <w:rsid w:val="2C475FE3"/>
    <w:rsid w:val="2C950AFD"/>
    <w:rsid w:val="2CB91990"/>
    <w:rsid w:val="2CD74CB7"/>
    <w:rsid w:val="2D0D27A4"/>
    <w:rsid w:val="2D733A86"/>
    <w:rsid w:val="2D99286E"/>
    <w:rsid w:val="2DB1581A"/>
    <w:rsid w:val="2DBD7F1C"/>
    <w:rsid w:val="2DEE0919"/>
    <w:rsid w:val="2E0903C4"/>
    <w:rsid w:val="2E400CC6"/>
    <w:rsid w:val="2E4572AC"/>
    <w:rsid w:val="2E601AD8"/>
    <w:rsid w:val="2E6B06AD"/>
    <w:rsid w:val="2E7F5B8B"/>
    <w:rsid w:val="2E8E0160"/>
    <w:rsid w:val="2ED642B8"/>
    <w:rsid w:val="2EE82101"/>
    <w:rsid w:val="2F0D37F8"/>
    <w:rsid w:val="2F9D1DE5"/>
    <w:rsid w:val="2FFF365F"/>
    <w:rsid w:val="30236645"/>
    <w:rsid w:val="303B28FE"/>
    <w:rsid w:val="30442CB4"/>
    <w:rsid w:val="30481DFE"/>
    <w:rsid w:val="305C317B"/>
    <w:rsid w:val="307A4A16"/>
    <w:rsid w:val="309B28F4"/>
    <w:rsid w:val="30FF50DE"/>
    <w:rsid w:val="31396E58"/>
    <w:rsid w:val="3161468B"/>
    <w:rsid w:val="31BD474A"/>
    <w:rsid w:val="31BF7264"/>
    <w:rsid w:val="31C6505D"/>
    <w:rsid w:val="31E77303"/>
    <w:rsid w:val="31EF60AC"/>
    <w:rsid w:val="31FB3AF8"/>
    <w:rsid w:val="320C36C1"/>
    <w:rsid w:val="325F106B"/>
    <w:rsid w:val="32605C04"/>
    <w:rsid w:val="329D59DC"/>
    <w:rsid w:val="32A245C0"/>
    <w:rsid w:val="32A47A25"/>
    <w:rsid w:val="32DE155B"/>
    <w:rsid w:val="33121411"/>
    <w:rsid w:val="336E07CD"/>
    <w:rsid w:val="3374102B"/>
    <w:rsid w:val="337D7DB7"/>
    <w:rsid w:val="33A45A59"/>
    <w:rsid w:val="33AB4CA9"/>
    <w:rsid w:val="33F667B5"/>
    <w:rsid w:val="344A01B0"/>
    <w:rsid w:val="34597F5E"/>
    <w:rsid w:val="34855FF2"/>
    <w:rsid w:val="34974014"/>
    <w:rsid w:val="349E076A"/>
    <w:rsid w:val="34DC35EF"/>
    <w:rsid w:val="34ED79D0"/>
    <w:rsid w:val="34FB071A"/>
    <w:rsid w:val="351614C9"/>
    <w:rsid w:val="353A2BA2"/>
    <w:rsid w:val="354C5D63"/>
    <w:rsid w:val="35626876"/>
    <w:rsid w:val="358A66A3"/>
    <w:rsid w:val="35EB4A17"/>
    <w:rsid w:val="35FB575B"/>
    <w:rsid w:val="3600538E"/>
    <w:rsid w:val="36207EB2"/>
    <w:rsid w:val="36300532"/>
    <w:rsid w:val="363A7B37"/>
    <w:rsid w:val="365A47DD"/>
    <w:rsid w:val="365B6010"/>
    <w:rsid w:val="365E5A49"/>
    <w:rsid w:val="36EC7572"/>
    <w:rsid w:val="36EE23AE"/>
    <w:rsid w:val="37021599"/>
    <w:rsid w:val="37334C26"/>
    <w:rsid w:val="37492C0F"/>
    <w:rsid w:val="379F6CD3"/>
    <w:rsid w:val="37A57FE0"/>
    <w:rsid w:val="37DD73C0"/>
    <w:rsid w:val="381E22EE"/>
    <w:rsid w:val="38286FE7"/>
    <w:rsid w:val="38353FB8"/>
    <w:rsid w:val="384727C4"/>
    <w:rsid w:val="38DD052F"/>
    <w:rsid w:val="38FA16AA"/>
    <w:rsid w:val="391B4DE0"/>
    <w:rsid w:val="394D388A"/>
    <w:rsid w:val="39DD53B3"/>
    <w:rsid w:val="39E33D2C"/>
    <w:rsid w:val="39F40D1E"/>
    <w:rsid w:val="39FA2C32"/>
    <w:rsid w:val="3A263172"/>
    <w:rsid w:val="3A3320A2"/>
    <w:rsid w:val="3AA4664F"/>
    <w:rsid w:val="3AA94C5A"/>
    <w:rsid w:val="3AB667AE"/>
    <w:rsid w:val="3AE16666"/>
    <w:rsid w:val="3AEF415E"/>
    <w:rsid w:val="3AFF0781"/>
    <w:rsid w:val="3B134F76"/>
    <w:rsid w:val="3B1D4ADF"/>
    <w:rsid w:val="3B3E6803"/>
    <w:rsid w:val="3B4A61F5"/>
    <w:rsid w:val="3B4B33F9"/>
    <w:rsid w:val="3B5B2B56"/>
    <w:rsid w:val="3B6D1E05"/>
    <w:rsid w:val="3B877A1E"/>
    <w:rsid w:val="3B8C0E9C"/>
    <w:rsid w:val="3B992B86"/>
    <w:rsid w:val="3BBBCF7A"/>
    <w:rsid w:val="3C0C7959"/>
    <w:rsid w:val="3C1635E7"/>
    <w:rsid w:val="3C2A68AB"/>
    <w:rsid w:val="3C315FAE"/>
    <w:rsid w:val="3C365028"/>
    <w:rsid w:val="3C42441B"/>
    <w:rsid w:val="3C592918"/>
    <w:rsid w:val="3C7C7374"/>
    <w:rsid w:val="3C7D6B1E"/>
    <w:rsid w:val="3C963804"/>
    <w:rsid w:val="3CA957C8"/>
    <w:rsid w:val="3CD71673"/>
    <w:rsid w:val="3CE31410"/>
    <w:rsid w:val="3CFF335B"/>
    <w:rsid w:val="3D0678C8"/>
    <w:rsid w:val="3D1B6E8D"/>
    <w:rsid w:val="3D1D5B77"/>
    <w:rsid w:val="3D4071EC"/>
    <w:rsid w:val="3D9A2CF6"/>
    <w:rsid w:val="3DC202B3"/>
    <w:rsid w:val="3DEF0C66"/>
    <w:rsid w:val="3DF767ED"/>
    <w:rsid w:val="3DF83223"/>
    <w:rsid w:val="3E0A020E"/>
    <w:rsid w:val="3E102B6D"/>
    <w:rsid w:val="3E3A75FA"/>
    <w:rsid w:val="3E511F83"/>
    <w:rsid w:val="3E774506"/>
    <w:rsid w:val="3E952D4A"/>
    <w:rsid w:val="3EB8565B"/>
    <w:rsid w:val="3EBE02B3"/>
    <w:rsid w:val="3ED843AD"/>
    <w:rsid w:val="3EDF06AD"/>
    <w:rsid w:val="3EE93752"/>
    <w:rsid w:val="3EF215B4"/>
    <w:rsid w:val="3F261A88"/>
    <w:rsid w:val="3F5B5E0D"/>
    <w:rsid w:val="3F67407A"/>
    <w:rsid w:val="3F6C3970"/>
    <w:rsid w:val="3F6C756A"/>
    <w:rsid w:val="3F9069B7"/>
    <w:rsid w:val="3FB35A12"/>
    <w:rsid w:val="3FDB11D8"/>
    <w:rsid w:val="3FDD14AC"/>
    <w:rsid w:val="40071E11"/>
    <w:rsid w:val="4061575D"/>
    <w:rsid w:val="406308F0"/>
    <w:rsid w:val="406B009A"/>
    <w:rsid w:val="40756B50"/>
    <w:rsid w:val="408C65A1"/>
    <w:rsid w:val="40AF534B"/>
    <w:rsid w:val="40B16E8E"/>
    <w:rsid w:val="40B44FDF"/>
    <w:rsid w:val="40C236C3"/>
    <w:rsid w:val="40C64ED4"/>
    <w:rsid w:val="40D75D2D"/>
    <w:rsid w:val="40DE6ABE"/>
    <w:rsid w:val="40F52242"/>
    <w:rsid w:val="412D64B4"/>
    <w:rsid w:val="4142017D"/>
    <w:rsid w:val="415A61FA"/>
    <w:rsid w:val="41BD0482"/>
    <w:rsid w:val="41C53D79"/>
    <w:rsid w:val="41D25C55"/>
    <w:rsid w:val="41DF38CE"/>
    <w:rsid w:val="41E81CC4"/>
    <w:rsid w:val="41FA7E85"/>
    <w:rsid w:val="420F381B"/>
    <w:rsid w:val="421924CE"/>
    <w:rsid w:val="42872F0D"/>
    <w:rsid w:val="42975E93"/>
    <w:rsid w:val="430254FD"/>
    <w:rsid w:val="43214AF8"/>
    <w:rsid w:val="43347B0A"/>
    <w:rsid w:val="433D2EC9"/>
    <w:rsid w:val="43657023"/>
    <w:rsid w:val="437A6E44"/>
    <w:rsid w:val="439E46E2"/>
    <w:rsid w:val="43ED4899"/>
    <w:rsid w:val="44284662"/>
    <w:rsid w:val="44513178"/>
    <w:rsid w:val="445F1B73"/>
    <w:rsid w:val="44793378"/>
    <w:rsid w:val="447B241E"/>
    <w:rsid w:val="44BE2EE5"/>
    <w:rsid w:val="44C05B4D"/>
    <w:rsid w:val="44DC050B"/>
    <w:rsid w:val="45107462"/>
    <w:rsid w:val="45194C57"/>
    <w:rsid w:val="451C2A86"/>
    <w:rsid w:val="452408EF"/>
    <w:rsid w:val="452E08EE"/>
    <w:rsid w:val="453D34AD"/>
    <w:rsid w:val="45581B20"/>
    <w:rsid w:val="455F00C3"/>
    <w:rsid w:val="45D71243"/>
    <w:rsid w:val="45F86DE9"/>
    <w:rsid w:val="46475C0A"/>
    <w:rsid w:val="466D4291"/>
    <w:rsid w:val="46CA0060"/>
    <w:rsid w:val="46CD0662"/>
    <w:rsid w:val="46F11227"/>
    <w:rsid w:val="470B6133"/>
    <w:rsid w:val="474A6C5C"/>
    <w:rsid w:val="47627B33"/>
    <w:rsid w:val="476449A0"/>
    <w:rsid w:val="479316BE"/>
    <w:rsid w:val="47AD287A"/>
    <w:rsid w:val="47B14F0D"/>
    <w:rsid w:val="47E21927"/>
    <w:rsid w:val="48147089"/>
    <w:rsid w:val="48401E0D"/>
    <w:rsid w:val="484C35C5"/>
    <w:rsid w:val="485F0F1A"/>
    <w:rsid w:val="488D48FC"/>
    <w:rsid w:val="48980068"/>
    <w:rsid w:val="48AB34F1"/>
    <w:rsid w:val="48C60564"/>
    <w:rsid w:val="490B241B"/>
    <w:rsid w:val="492D3431"/>
    <w:rsid w:val="497C50C6"/>
    <w:rsid w:val="49AA19D2"/>
    <w:rsid w:val="49C232EB"/>
    <w:rsid w:val="49E912FE"/>
    <w:rsid w:val="4A1853B5"/>
    <w:rsid w:val="4A241A9A"/>
    <w:rsid w:val="4A94163B"/>
    <w:rsid w:val="4AB70E4E"/>
    <w:rsid w:val="4AC52252"/>
    <w:rsid w:val="4AD955DF"/>
    <w:rsid w:val="4AE1491E"/>
    <w:rsid w:val="4B586A0E"/>
    <w:rsid w:val="4B6B1B3F"/>
    <w:rsid w:val="4B7C5EF0"/>
    <w:rsid w:val="4B896045"/>
    <w:rsid w:val="4B92063F"/>
    <w:rsid w:val="4B9414C4"/>
    <w:rsid w:val="4BA55DF7"/>
    <w:rsid w:val="4BCF5981"/>
    <w:rsid w:val="4BD62AB1"/>
    <w:rsid w:val="4BE0524B"/>
    <w:rsid w:val="4BF01B9E"/>
    <w:rsid w:val="4BF477B7"/>
    <w:rsid w:val="4C1C4087"/>
    <w:rsid w:val="4C2E241B"/>
    <w:rsid w:val="4C505DD3"/>
    <w:rsid w:val="4C7B0A1F"/>
    <w:rsid w:val="4C9634BD"/>
    <w:rsid w:val="4CBC5E5C"/>
    <w:rsid w:val="4CE77CDE"/>
    <w:rsid w:val="4D080179"/>
    <w:rsid w:val="4D0E0F3C"/>
    <w:rsid w:val="4D21295C"/>
    <w:rsid w:val="4D3637DE"/>
    <w:rsid w:val="4DC64AA9"/>
    <w:rsid w:val="4DCA5C30"/>
    <w:rsid w:val="4E0565A9"/>
    <w:rsid w:val="4E285B2C"/>
    <w:rsid w:val="4E374437"/>
    <w:rsid w:val="4E550735"/>
    <w:rsid w:val="4E5C54C6"/>
    <w:rsid w:val="4E6B2FA8"/>
    <w:rsid w:val="4EE9675A"/>
    <w:rsid w:val="4EF01931"/>
    <w:rsid w:val="4F1328E1"/>
    <w:rsid w:val="4F1E382A"/>
    <w:rsid w:val="4F265B39"/>
    <w:rsid w:val="4F8151E4"/>
    <w:rsid w:val="4F935783"/>
    <w:rsid w:val="4FB00C24"/>
    <w:rsid w:val="4FC47810"/>
    <w:rsid w:val="50080A36"/>
    <w:rsid w:val="50483B49"/>
    <w:rsid w:val="50712742"/>
    <w:rsid w:val="509E02AD"/>
    <w:rsid w:val="50DF3DF8"/>
    <w:rsid w:val="511D20D8"/>
    <w:rsid w:val="5150182C"/>
    <w:rsid w:val="51594603"/>
    <w:rsid w:val="51645C67"/>
    <w:rsid w:val="517C10AD"/>
    <w:rsid w:val="5183214A"/>
    <w:rsid w:val="51985502"/>
    <w:rsid w:val="519F275C"/>
    <w:rsid w:val="51A52CE0"/>
    <w:rsid w:val="51D27360"/>
    <w:rsid w:val="522768E9"/>
    <w:rsid w:val="522E0D1A"/>
    <w:rsid w:val="523424AC"/>
    <w:rsid w:val="52461819"/>
    <w:rsid w:val="528A50FB"/>
    <w:rsid w:val="52BC6D27"/>
    <w:rsid w:val="52C31C84"/>
    <w:rsid w:val="52D533E7"/>
    <w:rsid w:val="52EB373F"/>
    <w:rsid w:val="531B118E"/>
    <w:rsid w:val="532D597B"/>
    <w:rsid w:val="539228D8"/>
    <w:rsid w:val="539A48D6"/>
    <w:rsid w:val="53A833B7"/>
    <w:rsid w:val="53CD764F"/>
    <w:rsid w:val="541C4A22"/>
    <w:rsid w:val="542E55D3"/>
    <w:rsid w:val="545925AB"/>
    <w:rsid w:val="546A55C8"/>
    <w:rsid w:val="5477778F"/>
    <w:rsid w:val="547C2E13"/>
    <w:rsid w:val="54C5010B"/>
    <w:rsid w:val="54C814D6"/>
    <w:rsid w:val="550615A1"/>
    <w:rsid w:val="555A395B"/>
    <w:rsid w:val="55A52581"/>
    <w:rsid w:val="55A84132"/>
    <w:rsid w:val="55B52ADE"/>
    <w:rsid w:val="55CC70F2"/>
    <w:rsid w:val="56612DD5"/>
    <w:rsid w:val="567376EC"/>
    <w:rsid w:val="567A1E09"/>
    <w:rsid w:val="56834C98"/>
    <w:rsid w:val="568841E3"/>
    <w:rsid w:val="56A32FB9"/>
    <w:rsid w:val="56B63517"/>
    <w:rsid w:val="56F03BEF"/>
    <w:rsid w:val="570C0638"/>
    <w:rsid w:val="57375100"/>
    <w:rsid w:val="573753CE"/>
    <w:rsid w:val="577B3E5A"/>
    <w:rsid w:val="57814294"/>
    <w:rsid w:val="579753D4"/>
    <w:rsid w:val="57B611AA"/>
    <w:rsid w:val="57C053F2"/>
    <w:rsid w:val="57C05BEA"/>
    <w:rsid w:val="57E270E4"/>
    <w:rsid w:val="57E934B3"/>
    <w:rsid w:val="57EE5C36"/>
    <w:rsid w:val="57F30C49"/>
    <w:rsid w:val="580D4A00"/>
    <w:rsid w:val="585E7B34"/>
    <w:rsid w:val="58E70043"/>
    <w:rsid w:val="58F67BBA"/>
    <w:rsid w:val="58FA6ADE"/>
    <w:rsid w:val="593C7C28"/>
    <w:rsid w:val="595C637A"/>
    <w:rsid w:val="59706614"/>
    <w:rsid w:val="59740B3D"/>
    <w:rsid w:val="598B6F28"/>
    <w:rsid w:val="59905893"/>
    <w:rsid w:val="59B56EC0"/>
    <w:rsid w:val="59B661CE"/>
    <w:rsid w:val="59C25C7A"/>
    <w:rsid w:val="59C54733"/>
    <w:rsid w:val="59CB7F6C"/>
    <w:rsid w:val="59CD6E01"/>
    <w:rsid w:val="59D0674E"/>
    <w:rsid w:val="59D63B08"/>
    <w:rsid w:val="59E00E14"/>
    <w:rsid w:val="59E4625F"/>
    <w:rsid w:val="5A372CFA"/>
    <w:rsid w:val="5A5F03D2"/>
    <w:rsid w:val="5A676B43"/>
    <w:rsid w:val="5AB15931"/>
    <w:rsid w:val="5AB55AB1"/>
    <w:rsid w:val="5AB8198A"/>
    <w:rsid w:val="5AD24FC9"/>
    <w:rsid w:val="5B284DCF"/>
    <w:rsid w:val="5B9E2C24"/>
    <w:rsid w:val="5BBE217F"/>
    <w:rsid w:val="5BD23B99"/>
    <w:rsid w:val="5BED7455"/>
    <w:rsid w:val="5C0952FD"/>
    <w:rsid w:val="5C125416"/>
    <w:rsid w:val="5C142505"/>
    <w:rsid w:val="5C607FEC"/>
    <w:rsid w:val="5C72099E"/>
    <w:rsid w:val="5CA515CE"/>
    <w:rsid w:val="5CC6733B"/>
    <w:rsid w:val="5CE23442"/>
    <w:rsid w:val="5D0445FC"/>
    <w:rsid w:val="5D107565"/>
    <w:rsid w:val="5D244244"/>
    <w:rsid w:val="5D485ABE"/>
    <w:rsid w:val="5D6C1A3A"/>
    <w:rsid w:val="5D81181A"/>
    <w:rsid w:val="5DAA5961"/>
    <w:rsid w:val="5DAB6BBE"/>
    <w:rsid w:val="5DC70E80"/>
    <w:rsid w:val="5DD8741D"/>
    <w:rsid w:val="5DED5BE8"/>
    <w:rsid w:val="5DEE7DF6"/>
    <w:rsid w:val="5E2C3640"/>
    <w:rsid w:val="5E341674"/>
    <w:rsid w:val="5EC91927"/>
    <w:rsid w:val="5ED83EE9"/>
    <w:rsid w:val="5EDD2A51"/>
    <w:rsid w:val="5F0A7F28"/>
    <w:rsid w:val="5F23461D"/>
    <w:rsid w:val="5F237E7B"/>
    <w:rsid w:val="5F286F22"/>
    <w:rsid w:val="5F29097A"/>
    <w:rsid w:val="5F702B1B"/>
    <w:rsid w:val="5F8927B9"/>
    <w:rsid w:val="5F8E5E26"/>
    <w:rsid w:val="601934AC"/>
    <w:rsid w:val="60636404"/>
    <w:rsid w:val="60887266"/>
    <w:rsid w:val="60887294"/>
    <w:rsid w:val="60C13257"/>
    <w:rsid w:val="60D223A7"/>
    <w:rsid w:val="60D94755"/>
    <w:rsid w:val="60F7128F"/>
    <w:rsid w:val="6109458C"/>
    <w:rsid w:val="612C2BB4"/>
    <w:rsid w:val="613534D3"/>
    <w:rsid w:val="613A70B9"/>
    <w:rsid w:val="61924BD6"/>
    <w:rsid w:val="61C35D3D"/>
    <w:rsid w:val="61E331EE"/>
    <w:rsid w:val="61F22359"/>
    <w:rsid w:val="625A1BD2"/>
    <w:rsid w:val="625E799D"/>
    <w:rsid w:val="6297533A"/>
    <w:rsid w:val="629C476F"/>
    <w:rsid w:val="62CC4BB7"/>
    <w:rsid w:val="631F0863"/>
    <w:rsid w:val="637C0142"/>
    <w:rsid w:val="63991678"/>
    <w:rsid w:val="63C24AF8"/>
    <w:rsid w:val="63DA7A7D"/>
    <w:rsid w:val="64015DA7"/>
    <w:rsid w:val="64046FA5"/>
    <w:rsid w:val="64440148"/>
    <w:rsid w:val="64650827"/>
    <w:rsid w:val="647F0E9F"/>
    <w:rsid w:val="649539DE"/>
    <w:rsid w:val="64A633B1"/>
    <w:rsid w:val="64DE5F73"/>
    <w:rsid w:val="65106B68"/>
    <w:rsid w:val="654F60AB"/>
    <w:rsid w:val="65AE321B"/>
    <w:rsid w:val="65C7600B"/>
    <w:rsid w:val="65E038B3"/>
    <w:rsid w:val="661F7290"/>
    <w:rsid w:val="662D0679"/>
    <w:rsid w:val="664E2EC0"/>
    <w:rsid w:val="669E4E36"/>
    <w:rsid w:val="66BA229F"/>
    <w:rsid w:val="66DA0DCC"/>
    <w:rsid w:val="66DE72F3"/>
    <w:rsid w:val="66FA57D6"/>
    <w:rsid w:val="67545A79"/>
    <w:rsid w:val="67931E7D"/>
    <w:rsid w:val="67C81E06"/>
    <w:rsid w:val="67FB309D"/>
    <w:rsid w:val="68112B83"/>
    <w:rsid w:val="68490E88"/>
    <w:rsid w:val="684E6364"/>
    <w:rsid w:val="68763B7A"/>
    <w:rsid w:val="688E5598"/>
    <w:rsid w:val="68CE3BD9"/>
    <w:rsid w:val="6928193E"/>
    <w:rsid w:val="69557B53"/>
    <w:rsid w:val="696D3EA8"/>
    <w:rsid w:val="69933425"/>
    <w:rsid w:val="69CC3138"/>
    <w:rsid w:val="69CD63D1"/>
    <w:rsid w:val="69E33DB0"/>
    <w:rsid w:val="69F1514A"/>
    <w:rsid w:val="69FE60E8"/>
    <w:rsid w:val="6A0C1EAD"/>
    <w:rsid w:val="6A0F45DD"/>
    <w:rsid w:val="6A1C002F"/>
    <w:rsid w:val="6A3A2B58"/>
    <w:rsid w:val="6A7C5F10"/>
    <w:rsid w:val="6A8E1AD5"/>
    <w:rsid w:val="6AA21AE4"/>
    <w:rsid w:val="6AB8673C"/>
    <w:rsid w:val="6AC863D2"/>
    <w:rsid w:val="6AD0218C"/>
    <w:rsid w:val="6ADA407A"/>
    <w:rsid w:val="6AF31323"/>
    <w:rsid w:val="6AF428B7"/>
    <w:rsid w:val="6AF86E1B"/>
    <w:rsid w:val="6B131B9C"/>
    <w:rsid w:val="6B2840D1"/>
    <w:rsid w:val="6B29672A"/>
    <w:rsid w:val="6B367C31"/>
    <w:rsid w:val="6B5471C4"/>
    <w:rsid w:val="6B5B2936"/>
    <w:rsid w:val="6B642B26"/>
    <w:rsid w:val="6B705E7C"/>
    <w:rsid w:val="6B961BC0"/>
    <w:rsid w:val="6BB302DF"/>
    <w:rsid w:val="6C161A6E"/>
    <w:rsid w:val="6C3E6DC4"/>
    <w:rsid w:val="6C607192"/>
    <w:rsid w:val="6CB571AC"/>
    <w:rsid w:val="6CEA649A"/>
    <w:rsid w:val="6D0B0F92"/>
    <w:rsid w:val="6D1815F7"/>
    <w:rsid w:val="6D1E2278"/>
    <w:rsid w:val="6D387B95"/>
    <w:rsid w:val="6D3A60BA"/>
    <w:rsid w:val="6D416F63"/>
    <w:rsid w:val="6D635265"/>
    <w:rsid w:val="6D85133E"/>
    <w:rsid w:val="6D9749C3"/>
    <w:rsid w:val="6DA83665"/>
    <w:rsid w:val="6DD74D94"/>
    <w:rsid w:val="6E027FC3"/>
    <w:rsid w:val="6E0F77CE"/>
    <w:rsid w:val="6E1A5F55"/>
    <w:rsid w:val="6E472039"/>
    <w:rsid w:val="6E781223"/>
    <w:rsid w:val="6E785B60"/>
    <w:rsid w:val="6E824C8C"/>
    <w:rsid w:val="6E845FF0"/>
    <w:rsid w:val="6E9B1C73"/>
    <w:rsid w:val="6EB64801"/>
    <w:rsid w:val="6F0856BD"/>
    <w:rsid w:val="6F1E692E"/>
    <w:rsid w:val="6F5E2614"/>
    <w:rsid w:val="6F762E9F"/>
    <w:rsid w:val="6FDE322F"/>
    <w:rsid w:val="6FE47684"/>
    <w:rsid w:val="70251764"/>
    <w:rsid w:val="70531449"/>
    <w:rsid w:val="706B65C9"/>
    <w:rsid w:val="708519CC"/>
    <w:rsid w:val="70877D29"/>
    <w:rsid w:val="70B45E68"/>
    <w:rsid w:val="70F1300C"/>
    <w:rsid w:val="70F36A31"/>
    <w:rsid w:val="71284DA0"/>
    <w:rsid w:val="71650B73"/>
    <w:rsid w:val="716819F9"/>
    <w:rsid w:val="7193305D"/>
    <w:rsid w:val="71967599"/>
    <w:rsid w:val="719B5E13"/>
    <w:rsid w:val="71B14BF2"/>
    <w:rsid w:val="71CD7C23"/>
    <w:rsid w:val="71CF0C7A"/>
    <w:rsid w:val="71F77E76"/>
    <w:rsid w:val="72161365"/>
    <w:rsid w:val="722F5689"/>
    <w:rsid w:val="72551AB9"/>
    <w:rsid w:val="72EC7943"/>
    <w:rsid w:val="73257DE9"/>
    <w:rsid w:val="73463ECB"/>
    <w:rsid w:val="7358498D"/>
    <w:rsid w:val="73931D6C"/>
    <w:rsid w:val="73A01C0C"/>
    <w:rsid w:val="73C667E7"/>
    <w:rsid w:val="73DD4D12"/>
    <w:rsid w:val="73E821FD"/>
    <w:rsid w:val="744F1375"/>
    <w:rsid w:val="745815A8"/>
    <w:rsid w:val="74626478"/>
    <w:rsid w:val="746A6634"/>
    <w:rsid w:val="7479612F"/>
    <w:rsid w:val="74A436A9"/>
    <w:rsid w:val="74C21F17"/>
    <w:rsid w:val="74C52A24"/>
    <w:rsid w:val="74C81F1C"/>
    <w:rsid w:val="74E11713"/>
    <w:rsid w:val="74F055B7"/>
    <w:rsid w:val="75157017"/>
    <w:rsid w:val="752B5075"/>
    <w:rsid w:val="755A4B06"/>
    <w:rsid w:val="75644DDD"/>
    <w:rsid w:val="759C3856"/>
    <w:rsid w:val="75C63665"/>
    <w:rsid w:val="75CBAC1D"/>
    <w:rsid w:val="76081A1C"/>
    <w:rsid w:val="76202718"/>
    <w:rsid w:val="765B4322"/>
    <w:rsid w:val="76922CFF"/>
    <w:rsid w:val="76BC203B"/>
    <w:rsid w:val="76C019D4"/>
    <w:rsid w:val="76D85A53"/>
    <w:rsid w:val="772F0E48"/>
    <w:rsid w:val="77380D05"/>
    <w:rsid w:val="7742611B"/>
    <w:rsid w:val="77437C59"/>
    <w:rsid w:val="77A2369A"/>
    <w:rsid w:val="77BA613D"/>
    <w:rsid w:val="77C30E32"/>
    <w:rsid w:val="77C348A6"/>
    <w:rsid w:val="77C67579"/>
    <w:rsid w:val="77CF7069"/>
    <w:rsid w:val="77D36A93"/>
    <w:rsid w:val="77FF8654"/>
    <w:rsid w:val="78034C40"/>
    <w:rsid w:val="78060DD0"/>
    <w:rsid w:val="78197753"/>
    <w:rsid w:val="78893EA9"/>
    <w:rsid w:val="789F7F6D"/>
    <w:rsid w:val="78A74F3E"/>
    <w:rsid w:val="78B638A1"/>
    <w:rsid w:val="78D0121F"/>
    <w:rsid w:val="78EE2A85"/>
    <w:rsid w:val="790A34D1"/>
    <w:rsid w:val="79666CF3"/>
    <w:rsid w:val="799B1ACE"/>
    <w:rsid w:val="79FA6098"/>
    <w:rsid w:val="7A2B7C06"/>
    <w:rsid w:val="7A85016C"/>
    <w:rsid w:val="7A9364E1"/>
    <w:rsid w:val="7AA847CF"/>
    <w:rsid w:val="7AAA2D8C"/>
    <w:rsid w:val="7AEB2FC8"/>
    <w:rsid w:val="7B025E8A"/>
    <w:rsid w:val="7B234816"/>
    <w:rsid w:val="7B3B27AB"/>
    <w:rsid w:val="7B4C262C"/>
    <w:rsid w:val="7B536E7F"/>
    <w:rsid w:val="7B547E21"/>
    <w:rsid w:val="7B6E491D"/>
    <w:rsid w:val="7B8D4D1B"/>
    <w:rsid w:val="7B9062D4"/>
    <w:rsid w:val="7BAC1031"/>
    <w:rsid w:val="7BAE71DB"/>
    <w:rsid w:val="7C002F09"/>
    <w:rsid w:val="7C033BAF"/>
    <w:rsid w:val="7C041311"/>
    <w:rsid w:val="7C11708E"/>
    <w:rsid w:val="7C127041"/>
    <w:rsid w:val="7C3D3F85"/>
    <w:rsid w:val="7C3D49F8"/>
    <w:rsid w:val="7C42497C"/>
    <w:rsid w:val="7C497134"/>
    <w:rsid w:val="7C524F0F"/>
    <w:rsid w:val="7C73503C"/>
    <w:rsid w:val="7C923CDE"/>
    <w:rsid w:val="7D3ABC64"/>
    <w:rsid w:val="7D99109C"/>
    <w:rsid w:val="7DA3294D"/>
    <w:rsid w:val="7DC04580"/>
    <w:rsid w:val="7E05558F"/>
    <w:rsid w:val="7E1A02DA"/>
    <w:rsid w:val="7E3B162E"/>
    <w:rsid w:val="7E4E3529"/>
    <w:rsid w:val="7E8C0D96"/>
    <w:rsid w:val="7E9E6CC6"/>
    <w:rsid w:val="7EA81FB2"/>
    <w:rsid w:val="7EC14674"/>
    <w:rsid w:val="7EC24FBA"/>
    <w:rsid w:val="7EEC6468"/>
    <w:rsid w:val="7EF93D0E"/>
    <w:rsid w:val="7F1C427F"/>
    <w:rsid w:val="7FC52428"/>
    <w:rsid w:val="7FDA55B6"/>
    <w:rsid w:val="7FE102D4"/>
    <w:rsid w:val="7FEB7EF2"/>
    <w:rsid w:val="7FEF406A"/>
    <w:rsid w:val="DBFF7847"/>
    <w:rsid w:val="DFF72605"/>
    <w:rsid w:val="DFFDDDCF"/>
    <w:rsid w:val="FBBDB6DD"/>
    <w:rsid w:val="FE8E2D5B"/>
    <w:rsid w:val="FEBDD6A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2"/>
    <w:basedOn w:val="1"/>
    <w:next w:val="1"/>
    <w:unhideWhenUsed/>
    <w:qFormat/>
    <w:uiPriority w:val="0"/>
    <w:pPr>
      <w:spacing w:before="100" w:beforeAutospacing="1" w:after="100" w:afterAutospacing="1"/>
      <w:jc w:val="left"/>
    </w:pPr>
    <w:rPr>
      <w:rFonts w:hint="eastAsia" w:ascii="宋体" w:hAnsi="宋体" w:eastAsia="宋体" w:cs="宋体"/>
      <w:b/>
      <w:kern w:val="0"/>
      <w:sz w:val="36"/>
      <w:szCs w:val="36"/>
      <w:lang w:val="en-US" w:eastAsia="zh-CN" w:bidi="ar"/>
    </w:rPr>
  </w:style>
  <w:style w:type="character" w:default="1" w:styleId="17">
    <w:name w:val="Default Paragraph Font"/>
    <w:semiHidden/>
    <w:qFormat/>
    <w:uiPriority w:val="0"/>
  </w:style>
  <w:style w:type="table" w:default="1" w:styleId="15">
    <w:name w:val="Normal Table"/>
    <w:semiHidden/>
    <w:qFormat/>
    <w:uiPriority w:val="0"/>
    <w:tblPr>
      <w:tblCellMar>
        <w:top w:w="0" w:type="dxa"/>
        <w:left w:w="108" w:type="dxa"/>
        <w:bottom w:w="0" w:type="dxa"/>
        <w:right w:w="108" w:type="dxa"/>
      </w:tblCellMar>
    </w:tblPr>
  </w:style>
  <w:style w:type="paragraph" w:styleId="3">
    <w:name w:val="Normal Indent"/>
    <w:basedOn w:val="1"/>
    <w:qFormat/>
    <w:uiPriority w:val="0"/>
    <w:pPr>
      <w:ind w:firstLine="420" w:firstLineChars="200"/>
    </w:pPr>
  </w:style>
  <w:style w:type="paragraph" w:styleId="4">
    <w:name w:val="toa heading"/>
    <w:basedOn w:val="1"/>
    <w:next w:val="1"/>
    <w:qFormat/>
    <w:uiPriority w:val="0"/>
    <w:rPr>
      <w:rFonts w:ascii="Arial" w:hAnsi="Arial"/>
      <w:sz w:val="24"/>
    </w:rPr>
  </w:style>
  <w:style w:type="paragraph" w:styleId="5">
    <w:name w:val="annotation text"/>
    <w:basedOn w:val="1"/>
    <w:qFormat/>
    <w:uiPriority w:val="0"/>
    <w:pPr>
      <w:jc w:val="left"/>
    </w:pPr>
  </w:style>
  <w:style w:type="paragraph" w:styleId="6">
    <w:name w:val="Body Text"/>
    <w:basedOn w:val="1"/>
    <w:qFormat/>
    <w:uiPriority w:val="0"/>
    <w:rPr>
      <w:sz w:val="32"/>
    </w:rPr>
  </w:style>
  <w:style w:type="paragraph" w:styleId="7">
    <w:name w:val="Body Text Indent"/>
    <w:basedOn w:val="1"/>
    <w:next w:val="8"/>
    <w:qFormat/>
    <w:uiPriority w:val="0"/>
    <w:pPr>
      <w:spacing w:after="120" w:afterLines="0" w:afterAutospacing="0"/>
      <w:ind w:left="420" w:leftChars="200"/>
    </w:pPr>
  </w:style>
  <w:style w:type="paragraph" w:styleId="8">
    <w:name w:val="Subtitle"/>
    <w:next w:val="1"/>
    <w:qFormat/>
    <w:uiPriority w:val="0"/>
    <w:pPr>
      <w:wordWrap w:val="0"/>
      <w:spacing w:after="60"/>
      <w:jc w:val="center"/>
    </w:pPr>
    <w:rPr>
      <w:rFonts w:ascii="Calibri" w:hAnsi="Calibri" w:eastAsia="宋体" w:cs="Times New Roman"/>
      <w:sz w:val="24"/>
      <w:szCs w:val="22"/>
      <w:lang w:val="en-US" w:eastAsia="zh-CN" w:bidi="ar-SA"/>
    </w:rPr>
  </w:style>
  <w:style w:type="paragraph" w:styleId="9">
    <w:name w:val="footer"/>
    <w:basedOn w:val="1"/>
    <w:qFormat/>
    <w:uiPriority w:val="0"/>
    <w:pPr>
      <w:tabs>
        <w:tab w:val="center" w:pos="4153"/>
        <w:tab w:val="right" w:pos="8306"/>
      </w:tabs>
      <w:snapToGrid w:val="0"/>
      <w:jc w:val="left"/>
    </w:pPr>
    <w:rPr>
      <w:sz w:val="18"/>
    </w:rPr>
  </w:style>
  <w:style w:type="paragraph" w:styleId="10">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1">
    <w:name w:val="toc 1"/>
    <w:basedOn w:val="1"/>
    <w:next w:val="1"/>
    <w:qFormat/>
    <w:uiPriority w:val="0"/>
  </w:style>
  <w:style w:type="paragraph" w:styleId="12">
    <w:name w:val="Normal (Web)"/>
    <w:basedOn w:val="1"/>
    <w:qFormat/>
    <w:uiPriority w:val="0"/>
    <w:pPr>
      <w:spacing w:before="100" w:beforeAutospacing="1" w:after="100" w:afterAutospacing="1"/>
      <w:ind w:left="0" w:right="0"/>
      <w:jc w:val="left"/>
    </w:pPr>
    <w:rPr>
      <w:kern w:val="0"/>
      <w:sz w:val="24"/>
      <w:lang w:val="en-US" w:eastAsia="zh-CN" w:bidi="ar"/>
    </w:rPr>
  </w:style>
  <w:style w:type="paragraph" w:styleId="13">
    <w:name w:val="Body Text First Indent"/>
    <w:basedOn w:val="6"/>
    <w:next w:val="1"/>
    <w:qFormat/>
    <w:uiPriority w:val="0"/>
    <w:pPr>
      <w:ind w:firstLine="420" w:firstLineChars="100"/>
    </w:pPr>
  </w:style>
  <w:style w:type="paragraph" w:styleId="14">
    <w:name w:val="Body Text First Indent 2"/>
    <w:basedOn w:val="7"/>
    <w:next w:val="1"/>
    <w:qFormat/>
    <w:uiPriority w:val="0"/>
    <w:pPr>
      <w:ind w:firstLine="420" w:firstLineChars="200"/>
    </w:pPr>
    <w:rPr>
      <w:rFonts w:eastAsia="宋体"/>
    </w:rPr>
  </w:style>
  <w:style w:type="table" w:styleId="16">
    <w:name w:val="Table Grid"/>
    <w:basedOn w:val="1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Strong"/>
    <w:basedOn w:val="17"/>
    <w:qFormat/>
    <w:uiPriority w:val="22"/>
    <w:rPr>
      <w:b/>
      <w:bCs/>
    </w:rPr>
  </w:style>
  <w:style w:type="character" w:customStyle="1" w:styleId="19">
    <w:name w:val="NormalCharacter"/>
    <w:qFormat/>
    <w:uiPriority w:val="0"/>
    <w:rPr>
      <w:rFonts w:eastAsia="宋体"/>
      <w:kern w:val="2"/>
      <w:sz w:val="21"/>
      <w:lang w:val="en-US" w:eastAsia="zh-CN"/>
    </w:rPr>
  </w:style>
  <w:style w:type="character" w:customStyle="1" w:styleId="20">
    <w:name w:val="fontstyle01"/>
    <w:qFormat/>
    <w:uiPriority w:val="99"/>
    <w:rPr>
      <w:rFonts w:ascii="仿宋_GB2312" w:eastAsia="仿宋_GB2312" w:cs="Times New Roman"/>
      <w:color w:val="000000"/>
      <w:sz w:val="32"/>
      <w:szCs w:val="32"/>
    </w:rPr>
  </w:style>
  <w:style w:type="paragraph" w:customStyle="1" w:styleId="21">
    <w:name w:val="BodyTextIndent"/>
    <w:basedOn w:val="1"/>
    <w:qFormat/>
    <w:uiPriority w:val="0"/>
    <w:pPr>
      <w:ind w:firstLine="200" w:firstLineChars="200"/>
    </w:pPr>
    <w:rPr>
      <w:rFonts w:ascii="Calibri" w:hAnsi="Calibri"/>
      <w:sz w:val="24"/>
    </w:rPr>
  </w:style>
  <w:style w:type="paragraph" w:customStyle="1" w:styleId="22">
    <w:name w:val="toa heading"/>
    <w:basedOn w:val="1"/>
    <w:next w:val="1"/>
    <w:qFormat/>
    <w:uiPriority w:val="0"/>
    <w:rPr>
      <w:rFonts w:ascii="Arial" w:hAnsi="Arial"/>
      <w:sz w:val="24"/>
    </w:rPr>
  </w:style>
  <w:style w:type="paragraph" w:customStyle="1" w:styleId="23">
    <w:name w:val="toa heading1"/>
    <w:basedOn w:val="1"/>
    <w:next w:val="1"/>
    <w:qFormat/>
    <w:uiPriority w:val="0"/>
    <w:pPr>
      <w:spacing w:before="120" w:beforeLines="0" w:beforeAutospacing="0"/>
    </w:pPr>
    <w:rPr>
      <w:rFonts w:ascii="Arial" w:hAnsi="Arial" w:eastAsia="宋体" w:cs="Times New Roman"/>
      <w:sz w:val="24"/>
    </w:rPr>
  </w:style>
  <w:style w:type="paragraph" w:customStyle="1" w:styleId="24">
    <w:name w:val="WPSOffice手动目录 1"/>
    <w:qFormat/>
    <w:uiPriority w:val="0"/>
    <w:pPr>
      <w:ind w:leftChars="0"/>
    </w:pPr>
    <w:rPr>
      <w:rFonts w:ascii="Times New Roman" w:hAnsi="Times New Roman" w:eastAsia="宋体" w:cs="Times New Roman"/>
      <w:sz w:val="20"/>
      <w:szCs w:val="20"/>
    </w:rPr>
  </w:style>
  <w:style w:type="paragraph" w:customStyle="1" w:styleId="25">
    <w:name w:val="BodyText1I2"/>
    <w:basedOn w:val="21"/>
    <w:qFormat/>
    <w:uiPriority w:val="0"/>
    <w:pPr>
      <w:ind w:firstLine="420"/>
    </w:pPr>
  </w:style>
  <w:style w:type="character" w:customStyle="1" w:styleId="26">
    <w:name w:val="font11"/>
    <w:basedOn w:val="17"/>
    <w:qFormat/>
    <w:uiPriority w:val="0"/>
    <w:rPr>
      <w:rFonts w:hint="default" w:ascii="仿宋_GB2312" w:eastAsia="仿宋_GB2312" w:cs="仿宋_GB2312"/>
      <w:color w:val="000000"/>
      <w:sz w:val="28"/>
      <w:szCs w:val="28"/>
      <w:u w:val="single"/>
    </w:rPr>
  </w:style>
  <w:style w:type="character" w:customStyle="1" w:styleId="27">
    <w:name w:val="font21"/>
    <w:basedOn w:val="17"/>
    <w:qFormat/>
    <w:uiPriority w:val="0"/>
    <w:rPr>
      <w:rFonts w:hint="default" w:ascii="仿宋_GB2312" w:eastAsia="仿宋_GB2312" w:cs="仿宋_GB2312"/>
      <w:color w:val="000000"/>
      <w:sz w:val="28"/>
      <w:szCs w:val="28"/>
      <w:u w:val="none"/>
    </w:rPr>
  </w:style>
  <w:style w:type="paragraph" w:customStyle="1" w:styleId="28">
    <w:name w:val="Body text|1"/>
    <w:next w:val="4"/>
    <w:qFormat/>
    <w:uiPriority w:val="0"/>
    <w:pPr>
      <w:keepNext w:val="0"/>
      <w:keepLines w:val="0"/>
      <w:widowControl w:val="0"/>
      <w:shd w:val="clear" w:color="auto" w:fill="auto"/>
      <w:bidi w:val="0"/>
      <w:spacing w:before="0" w:after="0" w:line="439" w:lineRule="auto"/>
      <w:ind w:left="0" w:right="0" w:firstLine="400"/>
      <w:jc w:val="left"/>
    </w:pPr>
    <w:rPr>
      <w:rFonts w:ascii="宋体" w:hAnsi="Times New Roman" w:eastAsia="宋体" w:cs="宋体"/>
      <w:color w:val="000000"/>
      <w:spacing w:val="0"/>
      <w:w w:val="100"/>
      <w:position w:val="0"/>
      <w:sz w:val="30"/>
      <w:szCs w:val="30"/>
      <w:u w:val="none"/>
      <w:shd w:val="clear" w:color="auto" w:fill="auto"/>
      <w:lang w:val="zh-TW" w:eastAsia="zh-TW" w:bidi="zh-TW"/>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12</Pages>
  <Words>10766</Words>
  <Characters>10877</Characters>
  <Lines>0</Lines>
  <Paragraphs>0</Paragraphs>
  <TotalTime>160</TotalTime>
  <ScaleCrop>false</ScaleCrop>
  <LinksUpToDate>false</LinksUpToDate>
  <CharactersWithSpaces>10992</CharactersWithSpaces>
  <Application>WPS Office_12.8.2.20327_F1E327BC-269C-435d-A152-05C5408002CA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2021-07-25T02:09:00Z</dcterms:created>
  <dc:creator>Administrator</dc:creator>
  <cp:lastModifiedBy>uos</cp:lastModifiedBy>
  <cp:lastPrinted>2024-07-02T23:11:00Z</cp:lastPrinted>
  <dcterms:modified xsi:type="dcterms:W3CDTF">2025-10-15T13:58:54Z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2052-12.8.2.20327</vt:lpwstr>
  </property>
  <property fmtid="{D5CDD505-2E9C-101B-9397-08002B2CF9AE}" pid="3" name="ICV">
    <vt:lpwstr>D4F5EAF38412ADC06704EF689FE45D0A_43</vt:lpwstr>
  </property>
  <property fmtid="{D5CDD505-2E9C-101B-9397-08002B2CF9AE}" pid="4" name="KSOTemplateDocerSaveRecord">
    <vt:lpwstr>eyJoZGlkIjoiZWVlYTVjYmUyYmM3MzhiYmRjZTlmZGIxYmFhM2ZkNmQiLCJ1c2VySWQiOiIxMTI4MDA2MzQ4In0=</vt:lpwstr>
  </property>
</Properties>
</file>