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FA4377">
      <w:pPr>
        <w:pStyle w:val="6"/>
      </w:pPr>
    </w:p>
    <w:p w14:paraId="188244AF">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方正小标宋简体" w:cs="仿宋_GB2312"/>
          <w:b/>
          <w:color w:val="auto"/>
          <w:sz w:val="44"/>
          <w:szCs w:val="44"/>
          <w:lang w:eastAsia="zh-CN"/>
        </w:rPr>
      </w:pPr>
      <w:r>
        <w:rPr>
          <w:rFonts w:hint="eastAsia" w:ascii="方正小标宋简体" w:hAnsi="方正小标宋简体" w:eastAsia="方正小标宋简体" w:cs="方正小标宋简体"/>
          <w:b w:val="0"/>
          <w:bCs/>
          <w:color w:val="auto"/>
          <w:w w:val="99"/>
          <w:sz w:val="44"/>
          <w:szCs w:val="44"/>
          <w:lang w:eastAsia="zh-CN"/>
        </w:rPr>
        <w:t>关于《</w:t>
      </w:r>
      <w:r>
        <w:rPr>
          <w:rFonts w:hint="eastAsia" w:ascii="方正小标宋简体" w:hAnsi="方正小标宋简体" w:eastAsia="方正小标宋简体" w:cs="方正小标宋简体"/>
          <w:b w:val="0"/>
          <w:bCs/>
          <w:color w:val="auto"/>
          <w:w w:val="99"/>
          <w:sz w:val="44"/>
          <w:szCs w:val="44"/>
        </w:rPr>
        <w:t>石家庄市</w:t>
      </w:r>
      <w:r>
        <w:rPr>
          <w:rFonts w:hint="eastAsia" w:ascii="方正小标宋简体" w:hAnsi="方正小标宋简体" w:eastAsia="方正小标宋简体" w:cs="方正小标宋简体"/>
          <w:b w:val="0"/>
          <w:bCs/>
          <w:color w:val="auto"/>
          <w:w w:val="99"/>
          <w:sz w:val="44"/>
          <w:szCs w:val="44"/>
          <w:lang w:eastAsia="zh-CN"/>
        </w:rPr>
        <w:t>生活</w:t>
      </w:r>
      <w:r>
        <w:rPr>
          <w:rFonts w:hint="eastAsia" w:ascii="方正小标宋简体" w:hAnsi="方正小标宋简体" w:eastAsia="方正小标宋简体" w:cs="方正小标宋简体"/>
          <w:b w:val="0"/>
          <w:bCs/>
          <w:color w:val="auto"/>
          <w:w w:val="99"/>
          <w:sz w:val="44"/>
          <w:szCs w:val="44"/>
        </w:rPr>
        <w:t>垃圾处</w:t>
      </w:r>
      <w:r>
        <w:rPr>
          <w:rFonts w:hint="eastAsia" w:ascii="方正小标宋简体" w:hAnsi="方正小标宋简体" w:eastAsia="方正小标宋简体" w:cs="方正小标宋简体"/>
          <w:b w:val="0"/>
          <w:bCs/>
          <w:color w:val="auto"/>
          <w:w w:val="99"/>
          <w:sz w:val="44"/>
          <w:szCs w:val="44"/>
          <w:lang w:eastAsia="zh-CN"/>
        </w:rPr>
        <w:t>理</w:t>
      </w:r>
      <w:r>
        <w:rPr>
          <w:rFonts w:hint="eastAsia" w:ascii="方正小标宋简体" w:hAnsi="方正小标宋简体" w:eastAsia="方正小标宋简体" w:cs="方正小标宋简体"/>
          <w:b w:val="0"/>
          <w:bCs/>
          <w:color w:val="auto"/>
          <w:w w:val="99"/>
          <w:sz w:val="44"/>
          <w:szCs w:val="44"/>
        </w:rPr>
        <w:t>费征收管理办法</w:t>
      </w:r>
      <w:r>
        <w:rPr>
          <w:rFonts w:hint="eastAsia" w:ascii="方正小标宋简体" w:hAnsi="方正小标宋简体" w:eastAsia="方正小标宋简体" w:cs="方正小标宋简体"/>
          <w:b w:val="0"/>
          <w:bCs/>
          <w:color w:val="auto"/>
          <w:sz w:val="44"/>
          <w:szCs w:val="44"/>
          <w:lang w:eastAsia="zh-CN"/>
        </w:rPr>
        <w:t>》征求意见稿</w:t>
      </w:r>
    </w:p>
    <w:p w14:paraId="0F1F864A">
      <w:pPr>
        <w:keepNext w:val="0"/>
        <w:keepLines w:val="0"/>
        <w:pageBreakBefore w:val="0"/>
        <w:widowControl w:val="0"/>
        <w:kinsoku/>
        <w:wordWrap/>
        <w:overflowPunct/>
        <w:topLinePunct w:val="0"/>
        <w:autoSpaceDE/>
        <w:autoSpaceDN/>
        <w:bidi w:val="0"/>
        <w:adjustRightInd/>
        <w:snapToGrid/>
        <w:ind w:left="-178" w:leftChars="-85"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w:t>
      </w:r>
    </w:p>
    <w:p w14:paraId="269DE13E">
      <w:pPr>
        <w:keepNext w:val="0"/>
        <w:keepLines w:val="0"/>
        <w:widowControl/>
        <w:suppressLineNumbers w:val="0"/>
        <w:jc w:val="left"/>
        <w:rPr>
          <w:rFonts w:hint="eastAsia" w:ascii="仿宋" w:hAnsi="仿宋" w:eastAsia="仿宋" w:cs="仿宋"/>
          <w:color w:val="auto"/>
          <w:sz w:val="32"/>
          <w:szCs w:val="32"/>
        </w:rPr>
      </w:pPr>
      <w:r>
        <w:rPr>
          <w:rFonts w:hint="eastAsia" w:ascii="仿宋_GB2312" w:hAnsi="仿宋_GB2312" w:eastAsia="仿宋_GB2312" w:cs="仿宋_GB2312"/>
          <w:color w:val="auto"/>
          <w:sz w:val="32"/>
          <w:szCs w:val="32"/>
          <w:lang w:val="en-US" w:eastAsia="zh-CN"/>
        </w:rPr>
        <w:t xml:space="preserve">    </w:t>
      </w:r>
      <w:r>
        <w:rPr>
          <w:rFonts w:hint="eastAsia" w:ascii="仿宋" w:hAnsi="仿宋" w:eastAsia="仿宋" w:cs="仿宋"/>
          <w:color w:val="auto"/>
          <w:sz w:val="32"/>
          <w:szCs w:val="32"/>
        </w:rPr>
        <w:t>为提高</w:t>
      </w:r>
      <w:r>
        <w:rPr>
          <w:rFonts w:hint="eastAsia" w:ascii="仿宋" w:hAnsi="仿宋" w:eastAsia="仿宋" w:cs="仿宋"/>
          <w:color w:val="auto"/>
          <w:sz w:val="32"/>
          <w:szCs w:val="32"/>
          <w:lang w:eastAsia="zh-CN"/>
        </w:rPr>
        <w:t>生活</w:t>
      </w:r>
      <w:r>
        <w:rPr>
          <w:rFonts w:hint="eastAsia" w:ascii="仿宋" w:hAnsi="仿宋" w:eastAsia="仿宋" w:cs="仿宋"/>
          <w:color w:val="auto"/>
          <w:sz w:val="32"/>
          <w:szCs w:val="32"/>
        </w:rPr>
        <w:t>垃圾处理水平，改善城市生态环境，建设资源节约型和环境友好型社会，根据</w:t>
      </w:r>
      <w:r>
        <w:rPr>
          <w:rFonts w:hint="eastAsia" w:ascii="仿宋" w:hAnsi="仿宋" w:eastAsia="仿宋" w:cs="仿宋"/>
          <w:color w:val="auto"/>
          <w:sz w:val="32"/>
          <w:szCs w:val="32"/>
          <w:lang w:eastAsia="zh-CN"/>
        </w:rPr>
        <w:t>《河北省生活垃圾处理收费管理办法》（冀发改公价规〔</w:t>
      </w:r>
      <w:r>
        <w:rPr>
          <w:rFonts w:hint="eastAsia" w:ascii="仿宋" w:hAnsi="仿宋" w:eastAsia="仿宋" w:cs="仿宋"/>
          <w:color w:val="auto"/>
          <w:sz w:val="32"/>
          <w:szCs w:val="32"/>
          <w:lang w:val="en-US" w:eastAsia="zh-CN"/>
        </w:rPr>
        <w:t>2023〕6号</w:t>
      </w:r>
      <w:r>
        <w:rPr>
          <w:rFonts w:hint="eastAsia" w:ascii="仿宋" w:hAnsi="仿宋" w:eastAsia="仿宋" w:cs="仿宋"/>
          <w:color w:val="auto"/>
          <w:sz w:val="32"/>
          <w:szCs w:val="32"/>
          <w:lang w:val="en" w:eastAsia="zh-CN"/>
        </w:rPr>
        <w:t>）</w:t>
      </w:r>
      <w:r>
        <w:rPr>
          <w:rFonts w:hint="eastAsia" w:ascii="仿宋" w:hAnsi="仿宋" w:eastAsia="仿宋" w:cs="仿宋"/>
          <w:color w:val="auto"/>
          <w:sz w:val="32"/>
          <w:szCs w:val="32"/>
          <w:lang w:val="en-US" w:eastAsia="zh-CN"/>
        </w:rPr>
        <w:t>《关于放开建筑垃圾处理收费标准等事项的通知》（</w:t>
      </w:r>
      <w:r>
        <w:rPr>
          <w:rFonts w:hint="eastAsia" w:ascii="仿宋" w:hAnsi="仿宋" w:eastAsia="仿宋" w:cs="仿宋"/>
          <w:color w:val="auto"/>
          <w:sz w:val="32"/>
          <w:szCs w:val="32"/>
          <w:lang w:eastAsia="zh-CN"/>
        </w:rPr>
        <w:t>冀发改公价〔</w:t>
      </w:r>
      <w:r>
        <w:rPr>
          <w:rFonts w:hint="eastAsia" w:ascii="仿宋" w:hAnsi="仿宋" w:eastAsia="仿宋" w:cs="仿宋"/>
          <w:color w:val="auto"/>
          <w:sz w:val="32"/>
          <w:szCs w:val="32"/>
          <w:lang w:val="en-US" w:eastAsia="zh-CN"/>
        </w:rPr>
        <w:t>2023〕1083号），</w:t>
      </w:r>
      <w:r>
        <w:rPr>
          <w:rFonts w:hint="eastAsia" w:ascii="仿宋" w:hAnsi="仿宋" w:eastAsia="仿宋" w:cs="仿宋"/>
          <w:color w:val="auto"/>
          <w:sz w:val="32"/>
          <w:szCs w:val="32"/>
        </w:rPr>
        <w:t>结合</w:t>
      </w:r>
      <w:r>
        <w:rPr>
          <w:rFonts w:hint="eastAsia" w:ascii="仿宋" w:hAnsi="仿宋" w:eastAsia="仿宋" w:cs="仿宋"/>
          <w:color w:val="auto"/>
          <w:sz w:val="32"/>
          <w:szCs w:val="32"/>
          <w:lang w:val="en"/>
        </w:rPr>
        <w:t>我市</w:t>
      </w:r>
      <w:r>
        <w:rPr>
          <w:rFonts w:hint="eastAsia" w:ascii="仿宋" w:hAnsi="仿宋" w:eastAsia="仿宋" w:cs="仿宋"/>
          <w:color w:val="auto"/>
          <w:sz w:val="32"/>
          <w:szCs w:val="32"/>
        </w:rPr>
        <w:t>实际，制定本办法。</w:t>
      </w:r>
    </w:p>
    <w:p w14:paraId="1DEAC98D">
      <w:pPr>
        <w:keepNext w:val="0"/>
        <w:keepLines w:val="0"/>
        <w:pageBreakBefore w:val="0"/>
        <w:widowControl w:val="0"/>
        <w:kinsoku/>
        <w:wordWrap/>
        <w:overflowPunct/>
        <w:topLinePunct w:val="0"/>
        <w:autoSpaceDE/>
        <w:autoSpaceDN/>
        <w:bidi w:val="0"/>
        <w:adjustRightInd/>
        <w:snapToGrid/>
        <w:ind w:left="-178" w:leftChars="-85" w:firstLine="643" w:firstLineChars="200"/>
        <w:textAlignment w:val="auto"/>
        <w:rPr>
          <w:rFonts w:hint="eastAsia" w:ascii="仿宋" w:hAnsi="仿宋" w:eastAsia="仿宋" w:cs="仿宋"/>
          <w:color w:val="auto"/>
          <w:sz w:val="32"/>
          <w:szCs w:val="32"/>
          <w:lang w:eastAsia="zh-CN"/>
        </w:rPr>
      </w:pPr>
      <w:r>
        <w:rPr>
          <w:rFonts w:hint="eastAsia" w:ascii="仿宋" w:hAnsi="仿宋" w:eastAsia="仿宋" w:cs="仿宋"/>
          <w:b/>
          <w:bCs/>
          <w:color w:val="auto"/>
          <w:sz w:val="32"/>
          <w:szCs w:val="32"/>
        </w:rPr>
        <w:t>第一条</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lang w:eastAsia="zh-CN"/>
        </w:rPr>
        <w:t>本办法所称生活垃圾是指日常生活中或者为日常生活提供服务的活动中产生的固体废物，以及法律、行政法规规定视为生活垃圾的固体废物，不包括危险废物、医疗废物、工业废物、建筑垃圾（含渣土、住宅装修垃圾等）、绿化作业垃圾和农业生产废物。</w:t>
      </w:r>
    </w:p>
    <w:p w14:paraId="7BB6B018">
      <w:pPr>
        <w:keepNext w:val="0"/>
        <w:keepLines w:val="0"/>
        <w:pageBreakBefore w:val="0"/>
        <w:widowControl w:val="0"/>
        <w:kinsoku/>
        <w:wordWrap/>
        <w:overflowPunct/>
        <w:topLinePunct w:val="0"/>
        <w:autoSpaceDE/>
        <w:autoSpaceDN/>
        <w:bidi w:val="0"/>
        <w:adjustRightInd/>
        <w:snapToGrid/>
        <w:ind w:left="-178" w:leftChars="-85"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生活垃圾处理费，是指向单位或个人征收的，用于将城乡规划建设的垃圾站（包括生活区内垃圾站以及生活垃圾管理部门提供的临时垃圾设施，下同）的零散垃圾收集并运输到指定的垃圾集中处理地，实行无害化集中处理过程所产生的收集、运输（含装卸，下同）和处置的费用。</w:t>
      </w:r>
    </w:p>
    <w:p w14:paraId="6F6EEB65">
      <w:pPr>
        <w:keepNext w:val="0"/>
        <w:keepLines w:val="0"/>
        <w:pageBreakBefore w:val="0"/>
        <w:widowControl w:val="0"/>
        <w:kinsoku/>
        <w:wordWrap/>
        <w:overflowPunct/>
        <w:topLinePunct w:val="0"/>
        <w:autoSpaceDE/>
        <w:autoSpaceDN/>
        <w:bidi w:val="0"/>
        <w:adjustRightInd/>
        <w:snapToGrid/>
        <w:ind w:left="-178" w:leftChars="-85" w:firstLine="643" w:firstLineChars="200"/>
        <w:textAlignment w:val="auto"/>
        <w:rPr>
          <w:rFonts w:hint="eastAsia" w:ascii="仿宋" w:hAnsi="仿宋" w:eastAsia="仿宋" w:cs="仿宋"/>
          <w:color w:val="auto"/>
          <w:sz w:val="32"/>
          <w:szCs w:val="32"/>
          <w:lang w:eastAsia="zh-CN"/>
        </w:rPr>
      </w:pPr>
      <w:r>
        <w:rPr>
          <w:rFonts w:hint="eastAsia" w:ascii="仿宋" w:hAnsi="仿宋" w:eastAsia="仿宋" w:cs="仿宋"/>
          <w:b/>
          <w:bCs/>
          <w:color w:val="auto"/>
          <w:sz w:val="32"/>
          <w:szCs w:val="32"/>
        </w:rPr>
        <w:t>第二条</w:t>
      </w:r>
      <w:r>
        <w:rPr>
          <w:rFonts w:hint="eastAsia" w:ascii="仿宋" w:hAnsi="仿宋" w:eastAsia="仿宋" w:cs="仿宋"/>
          <w:color w:val="auto"/>
          <w:sz w:val="32"/>
          <w:szCs w:val="32"/>
          <w:lang w:val="en-US" w:eastAsia="zh-CN"/>
        </w:rPr>
        <w:t xml:space="preserve">  生活</w:t>
      </w:r>
      <w:r>
        <w:rPr>
          <w:rFonts w:hint="eastAsia" w:ascii="仿宋" w:hAnsi="仿宋" w:eastAsia="仿宋" w:cs="仿宋"/>
          <w:color w:val="auto"/>
          <w:sz w:val="32"/>
          <w:szCs w:val="32"/>
        </w:rPr>
        <w:t>垃圾处理费实行</w:t>
      </w:r>
      <w:r>
        <w:rPr>
          <w:rFonts w:hint="eastAsia" w:ascii="仿宋" w:hAnsi="仿宋" w:eastAsia="仿宋" w:cs="仿宋"/>
          <w:color w:val="auto"/>
          <w:sz w:val="32"/>
          <w:szCs w:val="32"/>
          <w:lang w:eastAsia="zh-CN"/>
        </w:rPr>
        <w:t>产生者</w:t>
      </w:r>
      <w:r>
        <w:rPr>
          <w:rFonts w:hint="eastAsia" w:ascii="仿宋" w:hAnsi="仿宋" w:eastAsia="仿宋" w:cs="仿宋"/>
          <w:color w:val="auto"/>
          <w:sz w:val="32"/>
          <w:szCs w:val="32"/>
        </w:rPr>
        <w:t>责任原则和政府、社会、企业共同负担的原则</w:t>
      </w:r>
      <w:r>
        <w:rPr>
          <w:rFonts w:hint="eastAsia" w:ascii="仿宋" w:hAnsi="仿宋" w:eastAsia="仿宋" w:cs="仿宋"/>
          <w:color w:val="auto"/>
          <w:sz w:val="32"/>
          <w:szCs w:val="32"/>
          <w:lang w:eastAsia="zh-CN"/>
        </w:rPr>
        <w:t>。</w:t>
      </w:r>
    </w:p>
    <w:p w14:paraId="4B9ED1A3">
      <w:pPr>
        <w:keepNext w:val="0"/>
        <w:keepLines w:val="0"/>
        <w:pageBreakBefore w:val="0"/>
        <w:widowControl w:val="0"/>
        <w:kinsoku/>
        <w:wordWrap/>
        <w:overflowPunct/>
        <w:topLinePunct w:val="0"/>
        <w:autoSpaceDE/>
        <w:autoSpaceDN/>
        <w:bidi w:val="0"/>
        <w:adjustRightInd/>
        <w:snapToGrid/>
        <w:ind w:left="-178" w:leftChars="-85"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长安区、新华区、桥西区、裕华区、高新区、</w:t>
      </w:r>
      <w:r>
        <w:rPr>
          <w:rFonts w:hint="eastAsia" w:ascii="仿宋" w:hAnsi="仿宋" w:eastAsia="仿宋" w:cs="仿宋"/>
          <w:color w:val="auto"/>
          <w:sz w:val="32"/>
          <w:szCs w:val="32"/>
          <w:lang w:eastAsia="zh-CN"/>
        </w:rPr>
        <w:t>经开区、</w:t>
      </w:r>
      <w:r>
        <w:rPr>
          <w:rFonts w:hint="eastAsia" w:ascii="仿宋" w:hAnsi="仿宋" w:eastAsia="仿宋" w:cs="仿宋"/>
          <w:color w:val="auto"/>
          <w:sz w:val="32"/>
          <w:szCs w:val="32"/>
        </w:rPr>
        <w:t>鹿泉区、藁城区、栾城区、正定县所有产生</w:t>
      </w:r>
      <w:r>
        <w:rPr>
          <w:rFonts w:hint="eastAsia" w:ascii="仿宋" w:hAnsi="仿宋" w:eastAsia="仿宋" w:cs="仿宋"/>
          <w:color w:val="auto"/>
          <w:sz w:val="32"/>
          <w:szCs w:val="32"/>
          <w:lang w:eastAsia="zh-CN"/>
        </w:rPr>
        <w:t>生活</w:t>
      </w:r>
      <w:r>
        <w:rPr>
          <w:rFonts w:hint="eastAsia" w:ascii="仿宋" w:hAnsi="仿宋" w:eastAsia="仿宋" w:cs="仿宋"/>
          <w:color w:val="auto"/>
          <w:sz w:val="32"/>
          <w:szCs w:val="32"/>
        </w:rPr>
        <w:t>垃圾的国家机关、企事业单位（包括交通运输工具）、个体经营者、社会团体、城市居民和城市暂住人口等均应缴纳</w:t>
      </w:r>
      <w:r>
        <w:rPr>
          <w:rFonts w:hint="eastAsia" w:ascii="仿宋" w:hAnsi="仿宋" w:eastAsia="仿宋" w:cs="仿宋"/>
          <w:color w:val="auto"/>
          <w:sz w:val="32"/>
          <w:szCs w:val="32"/>
          <w:lang w:eastAsia="zh-CN"/>
        </w:rPr>
        <w:t>生活</w:t>
      </w:r>
      <w:r>
        <w:rPr>
          <w:rFonts w:hint="eastAsia" w:ascii="仿宋" w:hAnsi="仿宋" w:eastAsia="仿宋" w:cs="仿宋"/>
          <w:color w:val="auto"/>
          <w:sz w:val="32"/>
          <w:szCs w:val="32"/>
        </w:rPr>
        <w:t>垃圾处理费。</w:t>
      </w:r>
    </w:p>
    <w:p w14:paraId="323203B9">
      <w:pPr>
        <w:keepNext w:val="0"/>
        <w:keepLines w:val="0"/>
        <w:pageBreakBefore w:val="0"/>
        <w:widowControl w:val="0"/>
        <w:kinsoku/>
        <w:wordWrap/>
        <w:overflowPunct/>
        <w:topLinePunct w:val="0"/>
        <w:autoSpaceDE/>
        <w:autoSpaceDN/>
        <w:bidi w:val="0"/>
        <w:adjustRightInd/>
        <w:snapToGrid/>
        <w:ind w:left="-178" w:leftChars="-85" w:firstLine="643" w:firstLineChars="200"/>
        <w:textAlignment w:val="auto"/>
        <w:rPr>
          <w:rFonts w:hint="eastAsia" w:ascii="仿宋" w:hAnsi="仿宋" w:eastAsia="仿宋" w:cs="仿宋"/>
          <w:color w:val="auto"/>
          <w:sz w:val="32"/>
          <w:szCs w:val="32"/>
          <w:lang w:eastAsia="zh-CN"/>
        </w:rPr>
      </w:pPr>
      <w:r>
        <w:rPr>
          <w:rFonts w:hint="eastAsia" w:ascii="仿宋" w:hAnsi="仿宋" w:eastAsia="仿宋" w:cs="仿宋"/>
          <w:b/>
          <w:bCs/>
          <w:color w:val="auto"/>
          <w:sz w:val="32"/>
          <w:szCs w:val="32"/>
          <w:lang w:eastAsia="zh-CN"/>
        </w:rPr>
        <w:t>第三条</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市税务局负责</w:t>
      </w:r>
      <w:r>
        <w:rPr>
          <w:rFonts w:hint="eastAsia" w:ascii="仿宋" w:hAnsi="仿宋" w:eastAsia="仿宋" w:cs="仿宋"/>
          <w:color w:val="auto"/>
          <w:sz w:val="32"/>
          <w:szCs w:val="32"/>
          <w:lang w:eastAsia="zh-CN"/>
        </w:rPr>
        <w:t>生活</w:t>
      </w:r>
      <w:r>
        <w:rPr>
          <w:rFonts w:hint="eastAsia" w:ascii="仿宋" w:hAnsi="仿宋" w:eastAsia="仿宋" w:cs="仿宋"/>
          <w:color w:val="auto"/>
          <w:sz w:val="32"/>
          <w:szCs w:val="32"/>
        </w:rPr>
        <w:t>垃圾处理费征缴工作</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市发展和改革委员会负责</w:t>
      </w:r>
      <w:r>
        <w:rPr>
          <w:rFonts w:hint="eastAsia" w:ascii="仿宋" w:hAnsi="仿宋" w:eastAsia="仿宋" w:cs="仿宋"/>
          <w:color w:val="auto"/>
          <w:sz w:val="32"/>
          <w:szCs w:val="32"/>
          <w:lang w:eastAsia="zh-CN"/>
        </w:rPr>
        <w:t>生活</w:t>
      </w:r>
      <w:r>
        <w:rPr>
          <w:rFonts w:hint="eastAsia" w:ascii="仿宋" w:hAnsi="仿宋" w:eastAsia="仿宋" w:cs="仿宋"/>
          <w:color w:val="auto"/>
          <w:sz w:val="32"/>
          <w:szCs w:val="32"/>
        </w:rPr>
        <w:t>垃圾处理费标准的制定和管理工作；市</w:t>
      </w:r>
      <w:r>
        <w:rPr>
          <w:rFonts w:hint="eastAsia" w:ascii="仿宋" w:hAnsi="仿宋" w:eastAsia="仿宋" w:cs="仿宋"/>
          <w:color w:val="auto"/>
          <w:sz w:val="32"/>
          <w:szCs w:val="32"/>
          <w:lang w:eastAsia="zh-CN"/>
        </w:rPr>
        <w:t>城市管理综合行政执法局</w:t>
      </w:r>
      <w:r>
        <w:rPr>
          <w:rFonts w:hint="eastAsia" w:ascii="仿宋" w:hAnsi="仿宋" w:eastAsia="仿宋" w:cs="仿宋"/>
          <w:color w:val="auto"/>
          <w:sz w:val="32"/>
          <w:szCs w:val="32"/>
        </w:rPr>
        <w:t>负责</w:t>
      </w:r>
      <w:r>
        <w:rPr>
          <w:rFonts w:hint="eastAsia" w:ascii="仿宋" w:hAnsi="仿宋" w:eastAsia="仿宋" w:cs="仿宋"/>
          <w:color w:val="auto"/>
          <w:sz w:val="32"/>
          <w:szCs w:val="32"/>
          <w:lang w:eastAsia="zh-CN"/>
        </w:rPr>
        <w:t>生活</w:t>
      </w:r>
      <w:r>
        <w:rPr>
          <w:rFonts w:hint="eastAsia" w:ascii="仿宋" w:hAnsi="仿宋" w:eastAsia="仿宋" w:cs="仿宋"/>
          <w:color w:val="auto"/>
          <w:sz w:val="32"/>
          <w:szCs w:val="32"/>
        </w:rPr>
        <w:t>垃圾处理费的核定管理工作</w:t>
      </w:r>
      <w:r>
        <w:rPr>
          <w:rFonts w:hint="eastAsia" w:ascii="仿宋" w:hAnsi="仿宋" w:eastAsia="仿宋" w:cs="仿宋"/>
          <w:color w:val="auto"/>
          <w:sz w:val="32"/>
          <w:szCs w:val="32"/>
          <w:lang w:eastAsia="zh-CN"/>
        </w:rPr>
        <w:t>。</w:t>
      </w:r>
    </w:p>
    <w:p w14:paraId="0E042531">
      <w:pPr>
        <w:keepNext w:val="0"/>
        <w:keepLines w:val="0"/>
        <w:pageBreakBefore w:val="0"/>
        <w:widowControl w:val="0"/>
        <w:kinsoku/>
        <w:wordWrap/>
        <w:overflowPunct/>
        <w:topLinePunct w:val="0"/>
        <w:autoSpaceDE/>
        <w:autoSpaceDN/>
        <w:bidi w:val="0"/>
        <w:adjustRightInd/>
        <w:snapToGrid/>
        <w:ind w:left="-178" w:leftChars="-85" w:firstLine="643" w:firstLineChars="200"/>
        <w:textAlignment w:val="auto"/>
        <w:rPr>
          <w:rFonts w:hint="eastAsia" w:ascii="仿宋" w:hAnsi="仿宋" w:eastAsia="仿宋" w:cs="仿宋"/>
          <w:color w:val="auto"/>
          <w:sz w:val="32"/>
          <w:szCs w:val="32"/>
        </w:rPr>
      </w:pPr>
      <w:r>
        <w:rPr>
          <w:rFonts w:hint="eastAsia" w:ascii="仿宋" w:hAnsi="仿宋" w:eastAsia="仿宋" w:cs="仿宋"/>
          <w:b/>
          <w:bCs/>
          <w:color w:val="auto"/>
          <w:sz w:val="32"/>
          <w:szCs w:val="32"/>
          <w:lang w:eastAsia="zh-CN"/>
        </w:rPr>
        <w:t>第四条</w:t>
      </w:r>
      <w:r>
        <w:rPr>
          <w:rFonts w:hint="eastAsia" w:ascii="仿宋" w:hAnsi="仿宋" w:eastAsia="仿宋" w:cs="仿宋"/>
          <w:color w:val="auto"/>
          <w:sz w:val="32"/>
          <w:szCs w:val="32"/>
          <w:lang w:val="en-US" w:eastAsia="zh-CN"/>
        </w:rPr>
        <w:t xml:space="preserve"> </w:t>
      </w:r>
      <w:r>
        <w:rPr>
          <w:rFonts w:hint="default"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建立主管部门、专业队伍、市场运作紧密结合的征收机制，实行市、区两级政府负责制，对不同的收费对象采取不同的收费方法。</w:t>
      </w:r>
    </w:p>
    <w:p w14:paraId="438B8D68">
      <w:pPr>
        <w:keepNext w:val="0"/>
        <w:keepLines w:val="0"/>
        <w:pageBreakBefore w:val="0"/>
        <w:widowControl w:val="0"/>
        <w:kinsoku/>
        <w:wordWrap/>
        <w:overflowPunct/>
        <w:topLinePunct w:val="0"/>
        <w:autoSpaceDE/>
        <w:autoSpaceDN/>
        <w:bidi w:val="0"/>
        <w:adjustRightInd/>
        <w:snapToGrid/>
        <w:ind w:left="-178" w:leftChars="-85"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一）居民及暂住人口应缴纳的生活垃圾处理费，按照提高收缴率、降低征收成本、方便缴费原则，鼓励委托供水、供电、供气等单位代收代缴。委托代收代缴单位不能覆盖的居民户，按照属地管理原则，纳入本辖区征收范围。</w:t>
      </w:r>
    </w:p>
    <w:p w14:paraId="632A94E9">
      <w:pPr>
        <w:keepNext w:val="0"/>
        <w:keepLines w:val="0"/>
        <w:pageBreakBefore w:val="0"/>
        <w:widowControl w:val="0"/>
        <w:kinsoku/>
        <w:wordWrap/>
        <w:overflowPunct/>
        <w:topLinePunct w:val="0"/>
        <w:autoSpaceDE/>
        <w:autoSpaceDN/>
        <w:bidi w:val="0"/>
        <w:adjustRightInd/>
        <w:snapToGrid/>
        <w:ind w:left="-178" w:leftChars="-85"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（二）</w:t>
      </w:r>
      <w:r>
        <w:rPr>
          <w:rFonts w:hint="eastAsia" w:ascii="仿宋" w:hAnsi="仿宋" w:eastAsia="仿宋" w:cs="仿宋"/>
          <w:color w:val="auto"/>
          <w:sz w:val="32"/>
          <w:szCs w:val="32"/>
        </w:rPr>
        <w:t>机关、学校、社会团体、企事业单位及经营者等应</w:t>
      </w:r>
      <w:r>
        <w:rPr>
          <w:rFonts w:hint="eastAsia" w:ascii="仿宋" w:hAnsi="仿宋" w:eastAsia="仿宋" w:cs="仿宋"/>
          <w:color w:val="auto"/>
          <w:sz w:val="32"/>
          <w:szCs w:val="32"/>
          <w:lang w:eastAsia="zh-CN"/>
        </w:rPr>
        <w:t>缴</w:t>
      </w:r>
      <w:r>
        <w:rPr>
          <w:rFonts w:hint="eastAsia" w:ascii="仿宋" w:hAnsi="仿宋" w:eastAsia="仿宋" w:cs="仿宋"/>
          <w:color w:val="auto"/>
          <w:sz w:val="32"/>
          <w:szCs w:val="32"/>
        </w:rPr>
        <w:t>纳的</w:t>
      </w:r>
      <w:r>
        <w:rPr>
          <w:rFonts w:hint="eastAsia" w:ascii="仿宋" w:hAnsi="仿宋" w:eastAsia="仿宋" w:cs="仿宋"/>
          <w:color w:val="auto"/>
          <w:sz w:val="32"/>
          <w:szCs w:val="32"/>
          <w:lang w:eastAsia="zh-CN"/>
        </w:rPr>
        <w:t>生活</w:t>
      </w:r>
      <w:r>
        <w:rPr>
          <w:rFonts w:hint="eastAsia" w:ascii="仿宋" w:hAnsi="仿宋" w:eastAsia="仿宋" w:cs="仿宋"/>
          <w:color w:val="auto"/>
          <w:sz w:val="32"/>
          <w:szCs w:val="32"/>
        </w:rPr>
        <w:t>垃圾处理费：按属地管理原则由本级核定信息录入单位登录河北省税务局</w:t>
      </w:r>
      <w:r>
        <w:rPr>
          <w:rFonts w:hint="eastAsia" w:ascii="仿宋" w:hAnsi="仿宋" w:eastAsia="仿宋" w:cs="仿宋"/>
          <w:color w:val="auto"/>
          <w:sz w:val="32"/>
          <w:szCs w:val="32"/>
          <w:lang w:eastAsia="zh-CN"/>
        </w:rPr>
        <w:t>电子税务局</w:t>
      </w:r>
      <w:r>
        <w:rPr>
          <w:rFonts w:hint="eastAsia" w:ascii="仿宋" w:hAnsi="仿宋" w:eastAsia="仿宋" w:cs="仿宋"/>
          <w:color w:val="auto"/>
          <w:sz w:val="32"/>
          <w:szCs w:val="32"/>
        </w:rPr>
        <w:t>，录入缴费信息后，由缴费单位自行在电子税务局或办税服务场所等涉税渠道进行费款缴纳。</w:t>
      </w:r>
    </w:p>
    <w:p w14:paraId="1C73652C">
      <w:pPr>
        <w:keepNext w:val="0"/>
        <w:keepLines w:val="0"/>
        <w:pageBreakBefore w:val="0"/>
        <w:widowControl w:val="0"/>
        <w:kinsoku/>
        <w:wordWrap/>
        <w:overflowPunct/>
        <w:topLinePunct w:val="0"/>
        <w:autoSpaceDE/>
        <w:autoSpaceDN/>
        <w:bidi w:val="0"/>
        <w:adjustRightInd/>
        <w:snapToGrid/>
        <w:ind w:left="-178" w:leftChars="-85" w:firstLine="643" w:firstLineChars="200"/>
        <w:textAlignment w:val="auto"/>
        <w:rPr>
          <w:rFonts w:hint="eastAsia" w:ascii="仿宋" w:hAnsi="仿宋" w:eastAsia="仿宋" w:cs="仿宋"/>
          <w:color w:val="auto"/>
          <w:sz w:val="32"/>
          <w:szCs w:val="32"/>
        </w:rPr>
      </w:pPr>
      <w:r>
        <w:rPr>
          <w:rFonts w:hint="eastAsia" w:ascii="仿宋" w:hAnsi="仿宋" w:eastAsia="仿宋" w:cs="仿宋"/>
          <w:b/>
          <w:bCs/>
          <w:color w:val="auto"/>
          <w:sz w:val="32"/>
          <w:szCs w:val="32"/>
          <w:lang w:eastAsia="zh-CN"/>
        </w:rPr>
        <w:t>第五条</w:t>
      </w:r>
      <w:r>
        <w:rPr>
          <w:rFonts w:hint="default" w:ascii="仿宋" w:hAnsi="仿宋" w:eastAsia="仿宋" w:cs="仿宋"/>
          <w:b/>
          <w:bCs/>
          <w:color w:val="auto"/>
          <w:sz w:val="32"/>
          <w:szCs w:val="32"/>
          <w:lang w:val="en-US" w:eastAsia="zh-CN"/>
        </w:rPr>
        <w:t xml:space="preserve">  </w:t>
      </w:r>
      <w:r>
        <w:rPr>
          <w:rFonts w:hint="eastAsia" w:ascii="仿宋" w:hAnsi="仿宋" w:eastAsia="仿宋" w:cs="仿宋"/>
          <w:color w:val="auto"/>
          <w:sz w:val="32"/>
          <w:szCs w:val="32"/>
        </w:rPr>
        <w:t>收费标准</w:t>
      </w:r>
    </w:p>
    <w:p w14:paraId="74B64681">
      <w:pPr>
        <w:keepNext w:val="0"/>
        <w:keepLines w:val="0"/>
        <w:pageBreakBefore w:val="0"/>
        <w:widowControl w:val="0"/>
        <w:kinsoku/>
        <w:wordWrap/>
        <w:overflowPunct/>
        <w:topLinePunct w:val="0"/>
        <w:autoSpaceDE/>
        <w:autoSpaceDN/>
        <w:bidi w:val="0"/>
        <w:adjustRightInd/>
        <w:snapToGrid/>
        <w:ind w:left="-178" w:leftChars="-85"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（一）由个人</w:t>
      </w:r>
      <w:r>
        <w:rPr>
          <w:rFonts w:hint="eastAsia" w:ascii="仿宋" w:hAnsi="仿宋" w:eastAsia="仿宋" w:cs="仿宋"/>
          <w:bCs/>
          <w:color w:val="auto"/>
          <w:sz w:val="32"/>
          <w:szCs w:val="32"/>
          <w:lang w:eastAsia="zh-CN"/>
        </w:rPr>
        <w:t>缴</w:t>
      </w:r>
      <w:r>
        <w:rPr>
          <w:rFonts w:hint="eastAsia" w:ascii="仿宋" w:hAnsi="仿宋" w:eastAsia="仿宋" w:cs="仿宋"/>
          <w:bCs/>
          <w:color w:val="auto"/>
          <w:sz w:val="32"/>
          <w:szCs w:val="32"/>
        </w:rPr>
        <w:t>纳的：城市居民每户每月3元，办理暂住户口的外地进城人员每人每月2元。</w:t>
      </w:r>
    </w:p>
    <w:p w14:paraId="537F0CA7">
      <w:pPr>
        <w:keepNext w:val="0"/>
        <w:keepLines w:val="0"/>
        <w:pageBreakBefore w:val="0"/>
        <w:widowControl w:val="0"/>
        <w:kinsoku/>
        <w:wordWrap/>
        <w:overflowPunct/>
        <w:topLinePunct w:val="0"/>
        <w:autoSpaceDE/>
        <w:autoSpaceDN/>
        <w:bidi w:val="0"/>
        <w:adjustRightInd/>
        <w:snapToGrid/>
        <w:ind w:left="-178" w:leftChars="-85"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（二）由单位</w:t>
      </w:r>
      <w:r>
        <w:rPr>
          <w:rFonts w:hint="eastAsia" w:ascii="仿宋" w:hAnsi="仿宋" w:eastAsia="仿宋" w:cs="仿宋"/>
          <w:bCs/>
          <w:color w:val="auto"/>
          <w:sz w:val="32"/>
          <w:szCs w:val="32"/>
          <w:lang w:eastAsia="zh-CN"/>
        </w:rPr>
        <w:t>缴</w:t>
      </w:r>
      <w:r>
        <w:rPr>
          <w:rFonts w:hint="eastAsia" w:ascii="仿宋" w:hAnsi="仿宋" w:eastAsia="仿宋" w:cs="仿宋"/>
          <w:bCs/>
          <w:color w:val="auto"/>
          <w:sz w:val="32"/>
          <w:szCs w:val="32"/>
        </w:rPr>
        <w:t>纳的：国家机关、社会团体、企事业单位（不包括按以下第三项执行的单位），按上年末在岗职工人数（含临时聘用人员）计收，计收标准1.5元/人·月，普通高校、中等专业技工学校按在籍学生人数计收，计收标准0.5元/人·月。</w:t>
      </w:r>
    </w:p>
    <w:p w14:paraId="5E660A63">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lang w:val="en-US" w:eastAsia="zh-CN"/>
        </w:rPr>
        <w:t xml:space="preserve">   </w:t>
      </w:r>
      <w:r>
        <w:rPr>
          <w:rFonts w:hint="eastAsia" w:ascii="仿宋" w:hAnsi="仿宋" w:eastAsia="仿宋" w:cs="仿宋"/>
          <w:bCs/>
          <w:color w:val="auto"/>
          <w:sz w:val="32"/>
          <w:szCs w:val="32"/>
        </w:rPr>
        <w:t>（三）由经营者</w:t>
      </w:r>
      <w:r>
        <w:rPr>
          <w:rFonts w:hint="eastAsia" w:ascii="仿宋" w:hAnsi="仿宋" w:eastAsia="仿宋" w:cs="仿宋"/>
          <w:bCs/>
          <w:color w:val="auto"/>
          <w:sz w:val="32"/>
          <w:szCs w:val="32"/>
          <w:lang w:eastAsia="zh-CN"/>
        </w:rPr>
        <w:t>缴</w:t>
      </w:r>
      <w:r>
        <w:rPr>
          <w:rFonts w:hint="eastAsia" w:ascii="仿宋" w:hAnsi="仿宋" w:eastAsia="仿宋" w:cs="仿宋"/>
          <w:bCs/>
          <w:color w:val="auto"/>
          <w:sz w:val="32"/>
          <w:szCs w:val="32"/>
        </w:rPr>
        <w:t>纳的：</w:t>
      </w:r>
    </w:p>
    <w:p w14:paraId="6EF599C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1</w:t>
      </w:r>
      <w:r>
        <w:rPr>
          <w:rFonts w:hint="default" w:ascii="仿宋" w:hAnsi="仿宋" w:eastAsia="仿宋" w:cs="仿宋"/>
          <w:bCs/>
          <w:color w:val="auto"/>
          <w:sz w:val="32"/>
          <w:szCs w:val="32"/>
          <w:lang w:val="en-US"/>
        </w:rPr>
        <w:t>.</w:t>
      </w:r>
      <w:r>
        <w:rPr>
          <w:rFonts w:hint="eastAsia" w:ascii="仿宋" w:hAnsi="仿宋" w:eastAsia="仿宋" w:cs="仿宋"/>
          <w:bCs/>
          <w:color w:val="auto"/>
          <w:sz w:val="32"/>
          <w:szCs w:val="32"/>
          <w:lang w:eastAsia="zh-CN"/>
        </w:rPr>
        <w:t>医院</w:t>
      </w:r>
      <w:bookmarkStart w:id="0" w:name="_GoBack"/>
      <w:bookmarkEnd w:id="0"/>
      <w:r>
        <w:rPr>
          <w:rFonts w:hint="eastAsia" w:ascii="仿宋" w:hAnsi="仿宋" w:eastAsia="仿宋" w:cs="仿宋"/>
          <w:bCs/>
          <w:color w:val="auto"/>
          <w:sz w:val="32"/>
          <w:szCs w:val="32"/>
        </w:rPr>
        <w:t>（不含医疗垃圾）、旅店、多功能宾馆、酒店（客房部分）按床位计收，收费标准３元/床·月（不足5张床的按职工人数计收，计收标准1.5元/人·月）。</w:t>
      </w:r>
    </w:p>
    <w:p w14:paraId="3A1E44A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2.农贸、集贸市场按摊位计收，收费标准 5元/摊·月。</w:t>
      </w:r>
    </w:p>
    <w:p w14:paraId="1CE6BD1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3.桑拿洗浴、美容美发、休闲娱乐等场所按经营面积计收，收费标准0.8元/平米·月。</w:t>
      </w:r>
    </w:p>
    <w:p w14:paraId="192367B9">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4</w:t>
      </w:r>
      <w:r>
        <w:rPr>
          <w:rFonts w:hint="default" w:ascii="仿宋" w:hAnsi="仿宋" w:eastAsia="仿宋" w:cs="仿宋"/>
          <w:bCs/>
          <w:color w:val="auto"/>
          <w:sz w:val="32"/>
          <w:szCs w:val="32"/>
          <w:lang w:val="en-US"/>
        </w:rPr>
        <w:t>.</w:t>
      </w:r>
      <w:r>
        <w:rPr>
          <w:rFonts w:hint="eastAsia" w:ascii="仿宋" w:hAnsi="仿宋" w:eastAsia="仿宋" w:cs="仿宋"/>
          <w:bCs/>
          <w:color w:val="auto"/>
          <w:sz w:val="32"/>
          <w:szCs w:val="32"/>
        </w:rPr>
        <w:t>长、短途客运车辆（不含客运企业）按座位计收，收费标准0.5元/座·月。</w:t>
      </w:r>
    </w:p>
    <w:p w14:paraId="69A50F9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5</w:t>
      </w:r>
      <w:r>
        <w:rPr>
          <w:rFonts w:hint="default" w:ascii="仿宋" w:hAnsi="仿宋" w:eastAsia="仿宋" w:cs="仿宋"/>
          <w:bCs/>
          <w:color w:val="auto"/>
          <w:sz w:val="32"/>
          <w:szCs w:val="32"/>
          <w:lang w:val="en-US"/>
        </w:rPr>
        <w:t>.</w:t>
      </w:r>
      <w:r>
        <w:rPr>
          <w:rFonts w:hint="eastAsia" w:ascii="仿宋" w:hAnsi="仿宋" w:eastAsia="仿宋" w:cs="仿宋"/>
          <w:bCs/>
          <w:color w:val="auto"/>
          <w:sz w:val="32"/>
          <w:szCs w:val="32"/>
        </w:rPr>
        <w:t>商业零售企业按营业面积大小实行累进计收，收费标准：</w:t>
      </w:r>
    </w:p>
    <w:p w14:paraId="3FB6D7B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50</w:t>
      </w:r>
      <w:r>
        <w:rPr>
          <w:rFonts w:hint="eastAsia" w:ascii="仿宋" w:hAnsi="仿宋" w:eastAsia="仿宋" w:cs="仿宋"/>
          <w:bCs/>
          <w:color w:val="auto"/>
          <w:sz w:val="32"/>
          <w:szCs w:val="32"/>
          <w:lang w:eastAsia="zh-CN"/>
        </w:rPr>
        <w:t>（含）</w:t>
      </w:r>
      <w:r>
        <w:rPr>
          <w:rFonts w:hint="eastAsia" w:ascii="仿宋" w:hAnsi="仿宋" w:eastAsia="仿宋" w:cs="仿宋"/>
          <w:bCs/>
          <w:color w:val="auto"/>
          <w:sz w:val="32"/>
          <w:szCs w:val="32"/>
        </w:rPr>
        <w:t>平方米以下20元/户·月</w:t>
      </w:r>
    </w:p>
    <w:p w14:paraId="46EED595">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 xml:space="preserve">50—100 </w:t>
      </w:r>
      <w:r>
        <w:rPr>
          <w:rFonts w:hint="eastAsia" w:ascii="仿宋" w:hAnsi="仿宋" w:eastAsia="仿宋" w:cs="仿宋"/>
          <w:bCs/>
          <w:color w:val="auto"/>
          <w:sz w:val="32"/>
          <w:szCs w:val="32"/>
          <w:lang w:eastAsia="zh-CN"/>
        </w:rPr>
        <w:t>（含）</w:t>
      </w:r>
      <w:r>
        <w:rPr>
          <w:rFonts w:hint="eastAsia" w:ascii="仿宋" w:hAnsi="仿宋" w:eastAsia="仿宋" w:cs="仿宋"/>
          <w:bCs/>
          <w:color w:val="auto"/>
          <w:sz w:val="32"/>
          <w:szCs w:val="32"/>
        </w:rPr>
        <w:t>平方米0.6元/平方米·月</w:t>
      </w:r>
    </w:p>
    <w:p w14:paraId="037413E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100—500</w:t>
      </w:r>
      <w:r>
        <w:rPr>
          <w:rFonts w:hint="eastAsia" w:ascii="仿宋" w:hAnsi="仿宋" w:eastAsia="仿宋" w:cs="仿宋"/>
          <w:bCs/>
          <w:color w:val="auto"/>
          <w:sz w:val="32"/>
          <w:szCs w:val="32"/>
          <w:lang w:eastAsia="zh-CN"/>
        </w:rPr>
        <w:t>（含）</w:t>
      </w:r>
      <w:r>
        <w:rPr>
          <w:rFonts w:hint="eastAsia" w:ascii="仿宋" w:hAnsi="仿宋" w:eastAsia="仿宋" w:cs="仿宋"/>
          <w:bCs/>
          <w:color w:val="auto"/>
          <w:sz w:val="32"/>
          <w:szCs w:val="32"/>
        </w:rPr>
        <w:t>平方米0.5元/平方米·月</w:t>
      </w:r>
    </w:p>
    <w:p w14:paraId="74AFF8A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500—1000</w:t>
      </w:r>
      <w:r>
        <w:rPr>
          <w:rFonts w:hint="eastAsia" w:ascii="仿宋" w:hAnsi="仿宋" w:eastAsia="仿宋" w:cs="仿宋"/>
          <w:bCs/>
          <w:color w:val="auto"/>
          <w:sz w:val="32"/>
          <w:szCs w:val="32"/>
          <w:lang w:eastAsia="zh-CN"/>
        </w:rPr>
        <w:t>（含）</w:t>
      </w:r>
      <w:r>
        <w:rPr>
          <w:rFonts w:hint="eastAsia" w:ascii="仿宋" w:hAnsi="仿宋" w:eastAsia="仿宋" w:cs="仿宋"/>
          <w:bCs/>
          <w:color w:val="auto"/>
          <w:sz w:val="32"/>
          <w:szCs w:val="32"/>
        </w:rPr>
        <w:t>平方米0.4元/平方米·月</w:t>
      </w:r>
    </w:p>
    <w:p w14:paraId="21C23AEA">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1000—5000</w:t>
      </w:r>
      <w:r>
        <w:rPr>
          <w:rFonts w:hint="eastAsia" w:ascii="仿宋" w:hAnsi="仿宋" w:eastAsia="仿宋" w:cs="仿宋"/>
          <w:bCs/>
          <w:color w:val="auto"/>
          <w:sz w:val="32"/>
          <w:szCs w:val="32"/>
          <w:lang w:eastAsia="zh-CN"/>
        </w:rPr>
        <w:t>（含）</w:t>
      </w:r>
      <w:r>
        <w:rPr>
          <w:rFonts w:hint="eastAsia" w:ascii="仿宋" w:hAnsi="仿宋" w:eastAsia="仿宋" w:cs="仿宋"/>
          <w:bCs/>
          <w:color w:val="auto"/>
          <w:sz w:val="32"/>
          <w:szCs w:val="32"/>
        </w:rPr>
        <w:t>平方米0.3元/平方米·月</w:t>
      </w:r>
    </w:p>
    <w:p w14:paraId="5945CFB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5000平方米以上 0.2元/平方米·月</w:t>
      </w:r>
    </w:p>
    <w:p w14:paraId="0027B92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6</w:t>
      </w:r>
      <w:r>
        <w:rPr>
          <w:rFonts w:hint="default" w:ascii="仿宋" w:hAnsi="仿宋" w:eastAsia="仿宋" w:cs="仿宋"/>
          <w:bCs/>
          <w:color w:val="auto"/>
          <w:sz w:val="32"/>
          <w:szCs w:val="32"/>
          <w:lang w:val="en-US"/>
        </w:rPr>
        <w:t>.餐饮业生活垃圾收费标准按照《石家庄市发展改革委员会石家庄市城市管理综合行政执法局关于印发&lt;非居民厨余垃圾处理计量收费标准（试行）&gt;的通知》相关规定执行</w:t>
      </w:r>
      <w:r>
        <w:rPr>
          <w:rFonts w:hint="eastAsia" w:ascii="仿宋" w:hAnsi="仿宋" w:eastAsia="仿宋" w:cs="仿宋"/>
          <w:bCs/>
          <w:color w:val="auto"/>
          <w:sz w:val="32"/>
          <w:szCs w:val="32"/>
        </w:rPr>
        <w:t>。</w:t>
      </w:r>
    </w:p>
    <w:p w14:paraId="61957F2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（四）单位自运到指定垃圾场的，按每吨50元计收。</w:t>
      </w:r>
    </w:p>
    <w:p w14:paraId="27EFC720">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仿宋"/>
          <w:color w:val="auto"/>
          <w:sz w:val="32"/>
          <w:szCs w:val="32"/>
        </w:rPr>
      </w:pPr>
      <w:r>
        <w:rPr>
          <w:rFonts w:hint="eastAsia" w:ascii="仿宋" w:hAnsi="仿宋" w:eastAsia="仿宋" w:cs="仿宋"/>
          <w:b/>
          <w:bCs/>
          <w:color w:val="auto"/>
          <w:sz w:val="32"/>
          <w:szCs w:val="32"/>
          <w:lang w:eastAsia="zh-CN"/>
        </w:rPr>
        <w:t>第六条</w:t>
      </w:r>
      <w:r>
        <w:rPr>
          <w:rFonts w:hint="default" w:ascii="仿宋" w:hAnsi="仿宋" w:eastAsia="仿宋" w:cs="仿宋"/>
          <w:b/>
          <w:bCs/>
          <w:color w:val="auto"/>
          <w:sz w:val="32"/>
          <w:szCs w:val="32"/>
          <w:lang w:val="en-US" w:eastAsia="zh-CN"/>
        </w:rPr>
        <w:t xml:space="preserve">  </w:t>
      </w:r>
      <w:r>
        <w:rPr>
          <w:rFonts w:hint="eastAsia" w:ascii="仿宋" w:hAnsi="仿宋" w:eastAsia="仿宋" w:cs="仿宋"/>
          <w:color w:val="auto"/>
          <w:sz w:val="32"/>
          <w:szCs w:val="32"/>
          <w:lang w:val="en-US" w:eastAsia="zh-CN"/>
        </w:rPr>
        <w:t>生活</w:t>
      </w:r>
      <w:r>
        <w:rPr>
          <w:rFonts w:hint="eastAsia" w:ascii="仿宋" w:hAnsi="仿宋" w:eastAsia="仿宋" w:cs="仿宋"/>
          <w:color w:val="auto"/>
          <w:sz w:val="32"/>
          <w:szCs w:val="32"/>
        </w:rPr>
        <w:t>垃圾处理费属行政事业性收费，实行收支两条线管理。所收费用专项用于</w:t>
      </w:r>
      <w:r>
        <w:rPr>
          <w:rFonts w:hint="eastAsia" w:ascii="仿宋" w:hAnsi="仿宋" w:eastAsia="仿宋" w:cs="仿宋"/>
          <w:color w:val="auto"/>
          <w:sz w:val="32"/>
          <w:szCs w:val="32"/>
          <w:lang w:eastAsia="zh-CN"/>
        </w:rPr>
        <w:t>生活</w:t>
      </w:r>
      <w:r>
        <w:rPr>
          <w:rFonts w:hint="eastAsia" w:ascii="仿宋" w:hAnsi="仿宋" w:eastAsia="仿宋" w:cs="仿宋"/>
          <w:color w:val="auto"/>
          <w:sz w:val="32"/>
          <w:szCs w:val="32"/>
        </w:rPr>
        <w:t>垃圾收集、运输、垃圾无害化处理设施的建设、运行以及社会资本投入垃圾处理事业补贴等支出。</w:t>
      </w:r>
    </w:p>
    <w:p w14:paraId="7C5AB1F8">
      <w:pPr>
        <w:keepNext w:val="0"/>
        <w:keepLines w:val="0"/>
        <w:pageBreakBefore w:val="0"/>
        <w:widowControl w:val="0"/>
        <w:kinsoku/>
        <w:wordWrap/>
        <w:overflowPunct/>
        <w:topLinePunct w:val="0"/>
        <w:autoSpaceDE/>
        <w:autoSpaceDN/>
        <w:bidi w:val="0"/>
        <w:adjustRightInd/>
        <w:snapToGrid/>
        <w:ind w:right="31" w:rightChars="15" w:firstLine="643" w:firstLineChars="200"/>
        <w:textAlignment w:val="auto"/>
        <w:rPr>
          <w:rFonts w:hint="eastAsia" w:ascii="仿宋" w:hAnsi="仿宋" w:eastAsia="仿宋" w:cs="仿宋"/>
          <w:color w:val="auto"/>
          <w:sz w:val="32"/>
          <w:szCs w:val="32"/>
        </w:rPr>
      </w:pPr>
      <w:r>
        <w:rPr>
          <w:rFonts w:hint="eastAsia" w:ascii="仿宋" w:hAnsi="仿宋" w:eastAsia="仿宋" w:cs="仿宋"/>
          <w:b/>
          <w:bCs/>
          <w:color w:val="auto"/>
          <w:sz w:val="32"/>
          <w:szCs w:val="32"/>
          <w:lang w:eastAsia="zh-CN"/>
        </w:rPr>
        <w:t>第七条</w:t>
      </w:r>
      <w:r>
        <w:rPr>
          <w:rFonts w:hint="default" w:ascii="仿宋" w:hAnsi="仿宋" w:eastAsia="仿宋" w:cs="仿宋"/>
          <w:b/>
          <w:bCs/>
          <w:color w:val="auto"/>
          <w:sz w:val="32"/>
          <w:szCs w:val="32"/>
          <w:lang w:val="en-US" w:eastAsia="zh-CN"/>
        </w:rPr>
        <w:t xml:space="preserve">  </w:t>
      </w:r>
      <w:r>
        <w:rPr>
          <w:rFonts w:hint="eastAsia" w:ascii="仿宋" w:hAnsi="仿宋" w:eastAsia="仿宋" w:cs="仿宋"/>
          <w:bCs/>
          <w:color w:val="auto"/>
          <w:sz w:val="32"/>
          <w:szCs w:val="32"/>
        </w:rPr>
        <w:t>对受委托代收单位可按实际征收额给予7%—10%的代征手续费，专项用于征收业务费，具体数额及比例由财政部门按照委托征收单位代征情况予以核定，并纳入财政预算。</w:t>
      </w:r>
    </w:p>
    <w:p w14:paraId="08788A71">
      <w:pPr>
        <w:keepNext w:val="0"/>
        <w:keepLines w:val="0"/>
        <w:pageBreakBefore w:val="0"/>
        <w:widowControl w:val="0"/>
        <w:kinsoku/>
        <w:wordWrap/>
        <w:overflowPunct/>
        <w:topLinePunct w:val="0"/>
        <w:autoSpaceDE/>
        <w:autoSpaceDN/>
        <w:bidi w:val="0"/>
        <w:adjustRightInd/>
        <w:snapToGrid/>
        <w:ind w:right="31" w:rightChars="15" w:firstLine="643" w:firstLineChars="200"/>
        <w:textAlignment w:val="auto"/>
        <w:rPr>
          <w:rFonts w:hint="eastAsia" w:ascii="仿宋" w:hAnsi="仿宋" w:eastAsia="仿宋" w:cs="仿宋"/>
          <w:bCs/>
          <w:color w:val="auto"/>
          <w:sz w:val="32"/>
          <w:szCs w:val="32"/>
          <w:lang w:eastAsia="zh-CN"/>
        </w:rPr>
      </w:pPr>
      <w:r>
        <w:rPr>
          <w:rFonts w:hint="eastAsia" w:ascii="仿宋" w:hAnsi="仿宋" w:eastAsia="仿宋" w:cs="仿宋"/>
          <w:b/>
          <w:bCs/>
          <w:color w:val="auto"/>
          <w:sz w:val="32"/>
          <w:szCs w:val="32"/>
          <w:lang w:eastAsia="zh-CN"/>
        </w:rPr>
        <w:t>第八条</w:t>
      </w:r>
      <w:r>
        <w:rPr>
          <w:rFonts w:hint="eastAsia" w:ascii="仿宋" w:hAnsi="仿宋" w:eastAsia="仿宋" w:cs="仿宋"/>
          <w:bCs/>
          <w:color w:val="auto"/>
          <w:sz w:val="32"/>
          <w:szCs w:val="32"/>
          <w:lang w:val="en-US" w:eastAsia="zh-CN"/>
        </w:rPr>
        <w:t xml:space="preserve">  </w:t>
      </w:r>
      <w:r>
        <w:rPr>
          <w:rFonts w:hint="eastAsia" w:ascii="仿宋" w:hAnsi="仿宋" w:eastAsia="仿宋" w:cs="仿宋"/>
          <w:color w:val="auto"/>
          <w:sz w:val="32"/>
          <w:szCs w:val="32"/>
          <w:lang w:eastAsia="zh-CN"/>
        </w:rPr>
        <w:t>所属期为</w:t>
      </w:r>
      <w:r>
        <w:rPr>
          <w:rFonts w:hint="eastAsia" w:ascii="仿宋" w:hAnsi="仿宋" w:eastAsia="仿宋" w:cs="仿宋"/>
          <w:color w:val="auto"/>
          <w:sz w:val="32"/>
          <w:szCs w:val="32"/>
          <w:lang w:val="en-US" w:eastAsia="zh-CN"/>
        </w:rPr>
        <w:t>2021年7月1日以后的生活垃圾处理费，</w:t>
      </w:r>
      <w:r>
        <w:rPr>
          <w:rFonts w:hint="eastAsia" w:ascii="仿宋" w:hAnsi="仿宋" w:eastAsia="仿宋" w:cs="仿宋"/>
          <w:color w:val="auto"/>
          <w:sz w:val="32"/>
          <w:szCs w:val="32"/>
        </w:rPr>
        <w:t>未按时缴纳</w:t>
      </w:r>
      <w:r>
        <w:rPr>
          <w:rFonts w:hint="eastAsia" w:ascii="仿宋" w:hAnsi="仿宋" w:eastAsia="仿宋" w:cs="仿宋"/>
          <w:color w:val="auto"/>
          <w:sz w:val="32"/>
          <w:szCs w:val="32"/>
          <w:lang w:eastAsia="zh-CN"/>
        </w:rPr>
        <w:t>的</w:t>
      </w:r>
      <w:r>
        <w:rPr>
          <w:rFonts w:hint="eastAsia" w:ascii="仿宋" w:hAnsi="仿宋" w:eastAsia="仿宋" w:cs="仿宋"/>
          <w:color w:val="auto"/>
          <w:sz w:val="32"/>
          <w:szCs w:val="32"/>
        </w:rPr>
        <w:t>，由县</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区</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税务局</w:t>
      </w:r>
      <w:r>
        <w:rPr>
          <w:rFonts w:hint="eastAsia" w:ascii="仿宋" w:hAnsi="仿宋" w:eastAsia="仿宋" w:cs="仿宋"/>
          <w:color w:val="auto"/>
          <w:sz w:val="32"/>
          <w:szCs w:val="32"/>
          <w:lang w:eastAsia="zh-CN"/>
        </w:rPr>
        <w:t>予以催缴。</w:t>
      </w:r>
      <w:r>
        <w:rPr>
          <w:rFonts w:hint="eastAsia" w:ascii="仿宋" w:hAnsi="仿宋" w:eastAsia="仿宋" w:cs="仿宋"/>
          <w:color w:val="auto"/>
          <w:sz w:val="32"/>
          <w:szCs w:val="32"/>
        </w:rPr>
        <w:t>划转税务部门征收以前欠缴的</w:t>
      </w:r>
      <w:r>
        <w:rPr>
          <w:rFonts w:hint="eastAsia" w:ascii="仿宋" w:hAnsi="仿宋" w:eastAsia="仿宋" w:cs="仿宋"/>
          <w:color w:val="auto"/>
          <w:sz w:val="32"/>
          <w:szCs w:val="32"/>
          <w:lang w:eastAsia="zh-CN"/>
        </w:rPr>
        <w:t>生活</w:t>
      </w:r>
      <w:r>
        <w:rPr>
          <w:rFonts w:hint="eastAsia" w:ascii="仿宋" w:hAnsi="仿宋" w:eastAsia="仿宋" w:cs="仿宋"/>
          <w:color w:val="auto"/>
          <w:sz w:val="32"/>
          <w:szCs w:val="32"/>
        </w:rPr>
        <w:t>垃圾处理费，由税务部门负责征缴入库。原执收（监缴）单位和</w:t>
      </w:r>
      <w:r>
        <w:rPr>
          <w:rFonts w:hint="eastAsia" w:ascii="仿宋" w:hAnsi="仿宋" w:eastAsia="仿宋" w:cs="仿宋"/>
          <w:bCs/>
          <w:color w:val="auto"/>
          <w:sz w:val="32"/>
          <w:szCs w:val="32"/>
        </w:rPr>
        <w:t>同级税务局要加强部门协同。</w:t>
      </w:r>
    </w:p>
    <w:p w14:paraId="5D722A39">
      <w:pPr>
        <w:keepNext w:val="0"/>
        <w:keepLines w:val="0"/>
        <w:pageBreakBefore w:val="0"/>
        <w:widowControl w:val="0"/>
        <w:kinsoku/>
        <w:wordWrap/>
        <w:overflowPunct/>
        <w:topLinePunct w:val="0"/>
        <w:autoSpaceDE/>
        <w:autoSpaceDN/>
        <w:bidi w:val="0"/>
        <w:adjustRightInd/>
        <w:snapToGrid/>
        <w:ind w:left="-178" w:leftChars="-85" w:firstLine="803" w:firstLineChars="250"/>
        <w:textAlignment w:val="auto"/>
        <w:rPr>
          <w:rFonts w:hint="eastAsia" w:ascii="仿宋" w:hAnsi="仿宋" w:eastAsia="仿宋" w:cs="仿宋"/>
          <w:bCs/>
          <w:color w:val="auto"/>
          <w:sz w:val="32"/>
          <w:szCs w:val="32"/>
          <w:lang w:eastAsia="zh-CN"/>
        </w:rPr>
      </w:pPr>
      <w:r>
        <w:rPr>
          <w:rFonts w:hint="eastAsia" w:ascii="仿宋" w:hAnsi="仿宋" w:eastAsia="仿宋" w:cs="仿宋"/>
          <w:b/>
          <w:bCs/>
          <w:color w:val="auto"/>
          <w:sz w:val="32"/>
          <w:szCs w:val="32"/>
          <w:lang w:eastAsia="zh-CN"/>
        </w:rPr>
        <w:t>第九条</w:t>
      </w:r>
      <w:r>
        <w:rPr>
          <w:rFonts w:hint="eastAsia" w:ascii="仿宋" w:hAnsi="仿宋" w:eastAsia="仿宋" w:cs="仿宋"/>
          <w:bCs/>
          <w:color w:val="auto"/>
          <w:sz w:val="32"/>
          <w:szCs w:val="32"/>
          <w:lang w:val="en-US" w:eastAsia="zh-CN"/>
        </w:rPr>
        <w:t xml:space="preserve">  </w:t>
      </w:r>
      <w:r>
        <w:rPr>
          <w:rFonts w:hint="eastAsia" w:ascii="仿宋" w:hAnsi="仿宋" w:eastAsia="仿宋" w:cs="仿宋"/>
          <w:bCs/>
          <w:color w:val="auto"/>
          <w:sz w:val="32"/>
          <w:szCs w:val="32"/>
          <w:lang w:eastAsia="zh-CN"/>
        </w:rPr>
        <w:t>对弄虚作假少缴纳生活垃圾处理费的单位和个人，城市环境卫生执法部门可依据《城市生活垃圾管理办法》相关规定予以处罚。</w:t>
      </w:r>
    </w:p>
    <w:p w14:paraId="3C8BEC78">
      <w:pPr>
        <w:keepNext w:val="0"/>
        <w:keepLines w:val="0"/>
        <w:pageBreakBefore w:val="0"/>
        <w:widowControl w:val="0"/>
        <w:kinsoku/>
        <w:wordWrap/>
        <w:overflowPunct/>
        <w:topLinePunct w:val="0"/>
        <w:autoSpaceDE/>
        <w:autoSpaceDN/>
        <w:bidi w:val="0"/>
        <w:adjustRightInd/>
        <w:snapToGrid/>
        <w:ind w:left="-178" w:leftChars="-85" w:firstLine="803" w:firstLineChars="250"/>
        <w:textAlignment w:val="auto"/>
        <w:rPr>
          <w:rFonts w:hint="eastAsia" w:ascii="仿宋" w:hAnsi="仿宋" w:eastAsia="仿宋" w:cs="仿宋"/>
          <w:bCs/>
          <w:color w:val="auto"/>
          <w:sz w:val="32"/>
          <w:szCs w:val="32"/>
        </w:rPr>
      </w:pPr>
      <w:r>
        <w:rPr>
          <w:rFonts w:hint="eastAsia" w:ascii="仿宋" w:hAnsi="仿宋" w:eastAsia="仿宋" w:cs="仿宋"/>
          <w:b/>
          <w:bCs/>
          <w:color w:val="auto"/>
          <w:sz w:val="32"/>
          <w:szCs w:val="32"/>
          <w:lang w:eastAsia="zh-CN"/>
        </w:rPr>
        <w:t>第十条</w:t>
      </w:r>
      <w:r>
        <w:rPr>
          <w:rFonts w:hint="eastAsia" w:ascii="仿宋" w:hAnsi="仿宋" w:eastAsia="仿宋" w:cs="仿宋"/>
          <w:color w:val="auto"/>
          <w:sz w:val="32"/>
          <w:szCs w:val="32"/>
          <w:lang w:val="en-US" w:eastAsia="zh-CN"/>
        </w:rPr>
        <w:t xml:space="preserve"> </w:t>
      </w:r>
      <w:r>
        <w:rPr>
          <w:rFonts w:hint="eastAsia" w:ascii="仿宋" w:hAnsi="仿宋" w:eastAsia="仿宋" w:cs="仿宋"/>
          <w:bCs/>
          <w:color w:val="auto"/>
          <w:sz w:val="32"/>
          <w:szCs w:val="32"/>
          <w:lang w:val="en-US" w:eastAsia="zh-CN"/>
        </w:rPr>
        <w:t xml:space="preserve"> </w:t>
      </w:r>
      <w:r>
        <w:rPr>
          <w:rFonts w:hint="eastAsia" w:ascii="仿宋" w:hAnsi="仿宋" w:eastAsia="仿宋" w:cs="仿宋"/>
          <w:bCs/>
          <w:color w:val="auto"/>
          <w:sz w:val="32"/>
          <w:szCs w:val="32"/>
        </w:rPr>
        <w:t>违反价格</w:t>
      </w:r>
      <w:r>
        <w:rPr>
          <w:rFonts w:hint="eastAsia" w:ascii="仿宋" w:hAnsi="仿宋" w:eastAsia="仿宋" w:cs="仿宋"/>
          <w:bCs/>
          <w:color w:val="auto"/>
          <w:sz w:val="32"/>
          <w:szCs w:val="32"/>
          <w:lang w:val="en-US" w:eastAsia="zh-CN"/>
        </w:rPr>
        <w:t>法</w:t>
      </w:r>
      <w:r>
        <w:rPr>
          <w:rFonts w:hint="eastAsia" w:ascii="仿宋" w:hAnsi="仿宋" w:eastAsia="仿宋" w:cs="仿宋"/>
          <w:bCs/>
          <w:color w:val="auto"/>
          <w:sz w:val="32"/>
          <w:szCs w:val="32"/>
        </w:rPr>
        <w:t>、</w:t>
      </w:r>
      <w:r>
        <w:rPr>
          <w:rFonts w:hint="eastAsia" w:ascii="仿宋" w:hAnsi="仿宋" w:eastAsia="仿宋" w:cs="仿宋"/>
          <w:bCs/>
          <w:color w:val="auto"/>
          <w:sz w:val="32"/>
          <w:szCs w:val="32"/>
          <w:lang w:eastAsia="zh-CN"/>
        </w:rPr>
        <w:t>生活</w:t>
      </w:r>
      <w:r>
        <w:rPr>
          <w:rFonts w:hint="eastAsia" w:ascii="仿宋" w:hAnsi="仿宋" w:eastAsia="仿宋" w:cs="仿宋"/>
          <w:bCs/>
          <w:color w:val="auto"/>
          <w:sz w:val="32"/>
          <w:szCs w:val="32"/>
        </w:rPr>
        <w:t>垃圾处理费专款专用规定以及有关财务规定的单位和个人，依照有关法律、法规予以查处，情节严重的，追究法律责任。</w:t>
      </w:r>
    </w:p>
    <w:p w14:paraId="5F66CF3A">
      <w:pPr>
        <w:keepNext w:val="0"/>
        <w:keepLines w:val="0"/>
        <w:pageBreakBefore w:val="0"/>
        <w:widowControl w:val="0"/>
        <w:kinsoku/>
        <w:wordWrap/>
        <w:overflowPunct/>
        <w:topLinePunct w:val="0"/>
        <w:autoSpaceDE/>
        <w:autoSpaceDN/>
        <w:bidi w:val="0"/>
        <w:adjustRightInd/>
        <w:snapToGrid/>
        <w:ind w:left="-178" w:leftChars="-85" w:firstLine="803" w:firstLineChars="250"/>
        <w:textAlignment w:val="auto"/>
        <w:rPr>
          <w:rFonts w:hint="eastAsia" w:ascii="仿宋" w:hAnsi="仿宋" w:eastAsia="仿宋" w:cs="仿宋"/>
          <w:bCs/>
          <w:color w:val="auto"/>
          <w:sz w:val="32"/>
          <w:szCs w:val="32"/>
          <w:lang w:eastAsia="zh-CN"/>
        </w:rPr>
      </w:pPr>
      <w:r>
        <w:rPr>
          <w:rFonts w:hint="eastAsia" w:ascii="仿宋" w:hAnsi="仿宋" w:eastAsia="仿宋" w:cs="仿宋"/>
          <w:b/>
          <w:bCs/>
          <w:color w:val="auto"/>
          <w:sz w:val="32"/>
          <w:szCs w:val="32"/>
          <w:lang w:eastAsia="zh-CN"/>
        </w:rPr>
        <w:t>第十一条</w:t>
      </w:r>
      <w:r>
        <w:rPr>
          <w:rFonts w:hint="eastAsia" w:ascii="仿宋" w:hAnsi="仿宋" w:eastAsia="仿宋" w:cs="仿宋"/>
          <w:bCs/>
          <w:color w:val="auto"/>
          <w:sz w:val="32"/>
          <w:szCs w:val="32"/>
          <w:lang w:val="en-US" w:eastAsia="zh-CN"/>
        </w:rPr>
        <w:t xml:space="preserve">  </w:t>
      </w:r>
      <w:r>
        <w:rPr>
          <w:rFonts w:hint="eastAsia" w:ascii="仿宋" w:hAnsi="仿宋" w:eastAsia="仿宋" w:cs="仿宋"/>
          <w:bCs/>
          <w:color w:val="auto"/>
          <w:sz w:val="32"/>
          <w:szCs w:val="32"/>
          <w:lang w:eastAsia="zh-CN"/>
        </w:rPr>
        <w:t>符合相关法律政策文件应予以免除行政事业性收费的项目，按照“产生者付费”原则，居民户无人居住的房屋空置期间可携带相关资料办理减免，对享受国家定期抚恤补助的优抚户或持有特困证的特困户、低保户及经有关部门批准的停产半停产企业在停产期间，学校在寒暑假期间，予以免征。</w:t>
      </w:r>
    </w:p>
    <w:p w14:paraId="0877D0C3">
      <w:pPr>
        <w:keepNext w:val="0"/>
        <w:keepLines w:val="0"/>
        <w:pageBreakBefore w:val="0"/>
        <w:widowControl w:val="0"/>
        <w:kinsoku/>
        <w:wordWrap/>
        <w:overflowPunct/>
        <w:topLinePunct w:val="0"/>
        <w:autoSpaceDE/>
        <w:autoSpaceDN/>
        <w:bidi w:val="0"/>
        <w:adjustRightInd/>
        <w:snapToGrid/>
        <w:ind w:left="-178" w:leftChars="-85" w:firstLine="803" w:firstLineChars="250"/>
        <w:textAlignment w:val="auto"/>
        <w:rPr>
          <w:rFonts w:hint="eastAsia" w:ascii="仿宋" w:hAnsi="仿宋" w:eastAsia="仿宋" w:cs="仿宋"/>
          <w:bCs/>
          <w:color w:val="auto"/>
          <w:sz w:val="32"/>
          <w:szCs w:val="32"/>
          <w:lang w:eastAsia="zh-CN"/>
        </w:rPr>
      </w:pPr>
      <w:r>
        <w:rPr>
          <w:rFonts w:hint="eastAsia" w:ascii="仿宋" w:hAnsi="仿宋" w:eastAsia="仿宋" w:cs="仿宋"/>
          <w:b/>
          <w:bCs/>
          <w:color w:val="auto"/>
          <w:sz w:val="32"/>
          <w:szCs w:val="32"/>
          <w:lang w:eastAsia="zh-CN"/>
        </w:rPr>
        <w:t>第十二条</w:t>
      </w:r>
      <w:r>
        <w:rPr>
          <w:rFonts w:hint="eastAsia" w:ascii="仿宋" w:hAnsi="仿宋" w:eastAsia="仿宋" w:cs="仿宋"/>
          <w:bCs/>
          <w:color w:val="auto"/>
          <w:sz w:val="32"/>
          <w:szCs w:val="32"/>
          <w:lang w:val="en-US" w:eastAsia="zh-CN"/>
        </w:rPr>
        <w:t xml:space="preserve">  其他</w:t>
      </w:r>
      <w:r>
        <w:rPr>
          <w:rFonts w:hint="eastAsia" w:ascii="仿宋" w:hAnsi="仿宋" w:eastAsia="仿宋" w:cs="仿宋"/>
          <w:bCs/>
          <w:color w:val="auto"/>
          <w:sz w:val="32"/>
          <w:szCs w:val="32"/>
          <w:lang w:eastAsia="zh-CN"/>
        </w:rPr>
        <w:t>县（市、区）人民政府可结合本辖区实际，参照本办法组织实施。</w:t>
      </w:r>
    </w:p>
    <w:p w14:paraId="2C74C40A">
      <w:pPr>
        <w:keepNext w:val="0"/>
        <w:keepLines w:val="0"/>
        <w:pageBreakBefore w:val="0"/>
        <w:widowControl w:val="0"/>
        <w:kinsoku/>
        <w:wordWrap/>
        <w:overflowPunct/>
        <w:topLinePunct w:val="0"/>
        <w:autoSpaceDE/>
        <w:autoSpaceDN/>
        <w:bidi w:val="0"/>
        <w:adjustRightInd/>
        <w:snapToGrid/>
        <w:ind w:left="-178" w:leftChars="-85" w:firstLine="803" w:firstLineChars="250"/>
        <w:textAlignment w:val="auto"/>
        <w:rPr>
          <w:rFonts w:hint="eastAsia" w:ascii="仿宋" w:hAnsi="仿宋" w:eastAsia="仿宋" w:cs="仿宋"/>
          <w:bCs/>
          <w:color w:val="auto"/>
          <w:sz w:val="32"/>
          <w:szCs w:val="32"/>
          <w:highlight w:val="none"/>
          <w:lang w:eastAsia="zh-CN"/>
        </w:rPr>
      </w:pPr>
      <w:r>
        <w:rPr>
          <w:rFonts w:hint="eastAsia" w:ascii="仿宋" w:hAnsi="仿宋" w:eastAsia="仿宋" w:cs="仿宋"/>
          <w:b/>
          <w:bCs/>
          <w:color w:val="auto"/>
          <w:sz w:val="32"/>
          <w:szCs w:val="32"/>
          <w:lang w:eastAsia="zh-CN"/>
        </w:rPr>
        <w:t>第十三条</w:t>
      </w:r>
      <w:r>
        <w:rPr>
          <w:rFonts w:hint="eastAsia" w:ascii="仿宋" w:hAnsi="仿宋" w:eastAsia="仿宋" w:cs="仿宋"/>
          <w:color w:val="auto"/>
          <w:sz w:val="32"/>
          <w:szCs w:val="32"/>
          <w:lang w:val="en-US" w:eastAsia="zh-CN"/>
        </w:rPr>
        <w:t xml:space="preserve"> </w:t>
      </w:r>
      <w:r>
        <w:rPr>
          <w:rFonts w:hint="eastAsia" w:ascii="仿宋" w:hAnsi="仿宋" w:eastAsia="仿宋" w:cs="仿宋"/>
          <w:bCs/>
          <w:color w:val="auto"/>
          <w:sz w:val="32"/>
          <w:szCs w:val="32"/>
          <w:lang w:val="en-US" w:eastAsia="zh-CN"/>
        </w:rPr>
        <w:t xml:space="preserve"> </w:t>
      </w:r>
      <w:r>
        <w:rPr>
          <w:rFonts w:hint="eastAsia" w:ascii="仿宋" w:hAnsi="仿宋" w:eastAsia="仿宋" w:cs="仿宋"/>
          <w:bCs/>
          <w:color w:val="auto"/>
          <w:sz w:val="32"/>
          <w:szCs w:val="32"/>
          <w:highlight w:val="none"/>
          <w:lang w:eastAsia="zh-CN"/>
        </w:rPr>
        <w:t>本办法有效期自202</w:t>
      </w:r>
      <w:r>
        <w:rPr>
          <w:rFonts w:hint="eastAsia" w:ascii="仿宋" w:hAnsi="仿宋" w:eastAsia="仿宋" w:cs="仿宋"/>
          <w:bCs/>
          <w:color w:val="auto"/>
          <w:sz w:val="32"/>
          <w:szCs w:val="32"/>
          <w:highlight w:val="none"/>
          <w:lang w:val="en-US" w:eastAsia="zh-CN"/>
        </w:rPr>
        <w:t>6</w:t>
      </w:r>
      <w:r>
        <w:rPr>
          <w:rFonts w:hint="eastAsia" w:ascii="仿宋" w:hAnsi="仿宋" w:eastAsia="仿宋" w:cs="仿宋"/>
          <w:bCs/>
          <w:color w:val="auto"/>
          <w:sz w:val="32"/>
          <w:szCs w:val="32"/>
          <w:highlight w:val="none"/>
          <w:lang w:eastAsia="zh-CN"/>
        </w:rPr>
        <w:t>年</w:t>
      </w:r>
      <w:r>
        <w:rPr>
          <w:rFonts w:hint="eastAsia" w:ascii="仿宋" w:hAnsi="仿宋" w:eastAsia="仿宋" w:cs="仿宋"/>
          <w:bCs/>
          <w:color w:val="auto"/>
          <w:sz w:val="32"/>
          <w:szCs w:val="32"/>
          <w:highlight w:val="none"/>
          <w:lang w:val="en-US" w:eastAsia="zh-CN"/>
        </w:rPr>
        <w:t xml:space="preserve"> </w:t>
      </w:r>
      <w:r>
        <w:rPr>
          <w:rFonts w:hint="eastAsia" w:ascii="仿宋" w:hAnsi="仿宋" w:eastAsia="仿宋" w:cs="仿宋"/>
          <w:bCs/>
          <w:color w:val="auto"/>
          <w:sz w:val="32"/>
          <w:szCs w:val="32"/>
          <w:highlight w:val="none"/>
          <w:lang w:eastAsia="zh-CN"/>
        </w:rPr>
        <w:t>月</w:t>
      </w:r>
      <w:r>
        <w:rPr>
          <w:rFonts w:hint="eastAsia" w:ascii="仿宋" w:hAnsi="仿宋" w:eastAsia="仿宋" w:cs="仿宋"/>
          <w:bCs/>
          <w:color w:val="auto"/>
          <w:sz w:val="32"/>
          <w:szCs w:val="32"/>
          <w:highlight w:val="none"/>
          <w:lang w:val="en-US" w:eastAsia="zh-CN"/>
        </w:rPr>
        <w:t xml:space="preserve"> </w:t>
      </w:r>
      <w:r>
        <w:rPr>
          <w:rFonts w:hint="eastAsia" w:ascii="仿宋" w:hAnsi="仿宋" w:eastAsia="仿宋" w:cs="仿宋"/>
          <w:bCs/>
          <w:color w:val="auto"/>
          <w:sz w:val="32"/>
          <w:szCs w:val="32"/>
          <w:highlight w:val="none"/>
          <w:lang w:eastAsia="zh-CN"/>
        </w:rPr>
        <w:t>日起至20</w:t>
      </w:r>
      <w:r>
        <w:rPr>
          <w:rFonts w:hint="eastAsia" w:ascii="仿宋" w:hAnsi="仿宋" w:eastAsia="仿宋" w:cs="仿宋"/>
          <w:bCs/>
          <w:color w:val="auto"/>
          <w:sz w:val="32"/>
          <w:szCs w:val="32"/>
          <w:highlight w:val="none"/>
          <w:lang w:val="en-US" w:eastAsia="zh-CN"/>
        </w:rPr>
        <w:t>31</w:t>
      </w:r>
      <w:r>
        <w:rPr>
          <w:rFonts w:hint="eastAsia" w:ascii="仿宋" w:hAnsi="仿宋" w:eastAsia="仿宋" w:cs="仿宋"/>
          <w:bCs/>
          <w:color w:val="auto"/>
          <w:sz w:val="32"/>
          <w:szCs w:val="32"/>
          <w:highlight w:val="none"/>
          <w:lang w:eastAsia="zh-CN"/>
        </w:rPr>
        <w:t>年</w:t>
      </w:r>
      <w:r>
        <w:rPr>
          <w:rFonts w:hint="eastAsia" w:ascii="仿宋" w:hAnsi="仿宋" w:eastAsia="仿宋" w:cs="仿宋"/>
          <w:bCs/>
          <w:color w:val="auto"/>
          <w:sz w:val="32"/>
          <w:szCs w:val="32"/>
          <w:highlight w:val="none"/>
          <w:lang w:val="en-US" w:eastAsia="zh-CN"/>
        </w:rPr>
        <w:t xml:space="preserve"> </w:t>
      </w:r>
      <w:r>
        <w:rPr>
          <w:rFonts w:hint="eastAsia" w:ascii="仿宋" w:hAnsi="仿宋" w:eastAsia="仿宋" w:cs="仿宋"/>
          <w:bCs/>
          <w:color w:val="auto"/>
          <w:sz w:val="32"/>
          <w:szCs w:val="32"/>
          <w:highlight w:val="none"/>
          <w:lang w:eastAsia="zh-CN"/>
        </w:rPr>
        <w:t>月日止。</w:t>
      </w:r>
      <w:r>
        <w:rPr>
          <w:rFonts w:hint="eastAsia" w:ascii="仿宋" w:hAnsi="仿宋" w:eastAsia="仿宋" w:cs="仿宋"/>
          <w:bCs/>
          <w:color w:val="auto"/>
          <w:sz w:val="32"/>
          <w:szCs w:val="32"/>
          <w:highlight w:val="none"/>
          <w:lang w:val="en-US" w:eastAsia="zh-CN"/>
        </w:rPr>
        <w:t>2024年6月30日石家庄市发展和改革委员会等四部门印发的《石家庄市城镇垃圾处理费征收管理办法》（石发改收费〔2024〕505号）同时废止。</w:t>
      </w:r>
    </w:p>
    <w:p w14:paraId="43EE1AF9">
      <w:pPr>
        <w:keepNext w:val="0"/>
        <w:keepLines w:val="0"/>
        <w:pageBreakBefore w:val="0"/>
        <w:widowControl w:val="0"/>
        <w:kinsoku/>
        <w:wordWrap/>
        <w:overflowPunct/>
        <w:topLinePunct w:val="0"/>
        <w:autoSpaceDE/>
        <w:autoSpaceDN/>
        <w:bidi w:val="0"/>
        <w:adjustRightInd/>
        <w:snapToGrid/>
        <w:ind w:left="-178" w:leftChars="-85" w:firstLine="800" w:firstLineChars="250"/>
        <w:textAlignment w:val="auto"/>
        <w:rPr>
          <w:rFonts w:hint="eastAsia" w:ascii="仿宋" w:hAnsi="仿宋" w:eastAsia="仿宋" w:cs="仿宋"/>
          <w:bCs/>
          <w:color w:val="auto"/>
          <w:sz w:val="32"/>
          <w:szCs w:val="32"/>
          <w:lang w:eastAsia="zh-CN"/>
        </w:rPr>
      </w:pPr>
    </w:p>
    <w:p w14:paraId="2BD522A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p>
    <w:p w14:paraId="6B9F3E0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p>
    <w:p w14:paraId="5AF868F0">
      <w:pPr>
        <w:pStyle w:val="7"/>
        <w:rPr>
          <w:rFonts w:hint="eastAsia" w:ascii="仿宋" w:hAnsi="仿宋" w:eastAsia="仿宋" w:cs="仿宋"/>
          <w:sz w:val="32"/>
          <w:szCs w:val="32"/>
        </w:rPr>
      </w:pPr>
    </w:p>
    <w:p w14:paraId="28B98EB5">
      <w:pPr>
        <w:pStyle w:val="7"/>
        <w:rPr>
          <w:rFonts w:hint="eastAsia" w:ascii="仿宋" w:hAnsi="仿宋" w:eastAsia="仿宋" w:cs="仿宋"/>
          <w:sz w:val="32"/>
          <w:szCs w:val="32"/>
        </w:rPr>
      </w:pPr>
    </w:p>
    <w:p w14:paraId="2DB17ECB">
      <w:pPr>
        <w:pStyle w:val="7"/>
        <w:rPr>
          <w:rFonts w:hint="eastAsia" w:ascii="仿宋" w:hAnsi="仿宋" w:eastAsia="仿宋" w:cs="仿宋"/>
          <w:sz w:val="32"/>
          <w:szCs w:val="32"/>
        </w:rPr>
      </w:pPr>
    </w:p>
    <w:p w14:paraId="4AD345ED">
      <w:pPr>
        <w:pStyle w:val="7"/>
        <w:rPr>
          <w:rFonts w:hint="eastAsia" w:ascii="仿宋" w:hAnsi="仿宋" w:eastAsia="仿宋" w:cs="仿宋"/>
          <w:sz w:val="32"/>
          <w:szCs w:val="32"/>
        </w:rPr>
      </w:pPr>
    </w:p>
    <w:p w14:paraId="618D7CD4">
      <w:pPr>
        <w:pStyle w:val="7"/>
        <w:rPr>
          <w:rFonts w:hint="eastAsia" w:ascii="仿宋" w:hAnsi="仿宋" w:eastAsia="仿宋" w:cs="仿宋"/>
          <w:sz w:val="32"/>
          <w:szCs w:val="32"/>
        </w:rPr>
      </w:pPr>
    </w:p>
    <w:p w14:paraId="54EA93AD">
      <w:pPr>
        <w:pStyle w:val="7"/>
        <w:rPr>
          <w:rFonts w:hint="eastAsia" w:ascii="仿宋" w:hAnsi="仿宋" w:eastAsia="仿宋" w:cs="仿宋"/>
          <w:sz w:val="32"/>
          <w:szCs w:val="32"/>
        </w:rPr>
      </w:pPr>
    </w:p>
    <w:p w14:paraId="327E3396">
      <w:pPr>
        <w:pStyle w:val="7"/>
        <w:rPr>
          <w:rFonts w:hint="eastAsia" w:ascii="仿宋" w:hAnsi="仿宋" w:eastAsia="仿宋" w:cs="仿宋"/>
          <w:sz w:val="32"/>
          <w:szCs w:val="32"/>
        </w:rPr>
      </w:pPr>
    </w:p>
    <w:p w14:paraId="16AE83F2">
      <w:pPr>
        <w:pStyle w:val="13"/>
        <w:adjustRightInd w:val="0"/>
        <w:snapToGrid w:val="0"/>
        <w:spacing w:before="0" w:beforeAutospacing="0" w:after="0" w:afterAutospacing="0" w:line="560" w:lineRule="exact"/>
        <w:jc w:val="both"/>
      </w:pPr>
    </w:p>
    <w:sectPr>
      <w:footerReference r:id="rId3" w:type="default"/>
      <w:pgSz w:w="11906" w:h="16838"/>
      <w:pgMar w:top="1984" w:right="1474" w:bottom="1417"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8"/>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仿宋_GB2312"/>
    <w:panose1 w:val="02010600030101010101"/>
    <w:charset w:val="86"/>
    <w:family w:val="auto"/>
    <w:pitch w:val="default"/>
    <w:sig w:usb0="00000000" w:usb1="00000000"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D9A824">
    <w:pPr>
      <w:pStyle w:val="8"/>
    </w:pPr>
    <w: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37C9D8">
                          <w:pPr>
                            <w:pStyle w:val="8"/>
                          </w:pPr>
                          <w:r>
                            <w:t xml:space="preserve">— </w:t>
                          </w:r>
                          <w:r>
                            <w:fldChar w:fldCharType="begin"/>
                          </w:r>
                          <w:r>
                            <w:instrText xml:space="preserve"> PAGE  \* MERGEFORMAT </w:instrText>
                          </w:r>
                          <w:r>
                            <w:fldChar w:fldCharType="separate"/>
                          </w:r>
                          <w:r>
                            <w:t>- 1 -</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ofIv8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HyL/KwIAAFcEAAAOAAAAAAAAAAEAIAAAAB8BAABkcnMvZTJvRG9jLnhtbFBLBQYAAAAABgAG&#10;AFkBAAC8BQAAAAA=&#10;">
              <v:fill on="f" focussize="0,0"/>
              <v:stroke on="f" weight="0.5pt"/>
              <v:imagedata o:title=""/>
              <o:lock v:ext="edit" aspectratio="f"/>
              <v:textbox inset="0mm,0mm,0mm,0mm" style="mso-fit-shape-to-text:t;">
                <w:txbxContent>
                  <w:p w14:paraId="0237C9D8">
                    <w:pPr>
                      <w:pStyle w:val="8"/>
                    </w:pPr>
                    <w:r>
                      <w:t xml:space="preserve">— </w:t>
                    </w:r>
                    <w:r>
                      <w:fldChar w:fldCharType="begin"/>
                    </w:r>
                    <w:r>
                      <w:instrText xml:space="preserve"> PAGE  \* MERGEFORMAT </w:instrText>
                    </w:r>
                    <w:r>
                      <w:fldChar w:fldCharType="separate"/>
                    </w:r>
                    <w:r>
                      <w:t>- 1 -</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wNTM5NzYwMDRjMzkwZTVkZjY2ODkwMGIxNGU0OTUifQ=="/>
  </w:docVars>
  <w:rsids>
    <w:rsidRoot w:val="5E57AD17"/>
    <w:rsid w:val="0006292E"/>
    <w:rsid w:val="00090267"/>
    <w:rsid w:val="004E0710"/>
    <w:rsid w:val="00567D32"/>
    <w:rsid w:val="009F6661"/>
    <w:rsid w:val="00F248F8"/>
    <w:rsid w:val="013928F4"/>
    <w:rsid w:val="09E560BD"/>
    <w:rsid w:val="0E1234A1"/>
    <w:rsid w:val="0ECB408E"/>
    <w:rsid w:val="0F7F26CC"/>
    <w:rsid w:val="10641E69"/>
    <w:rsid w:val="135249CB"/>
    <w:rsid w:val="14545DCF"/>
    <w:rsid w:val="1473164E"/>
    <w:rsid w:val="14B836CF"/>
    <w:rsid w:val="18054537"/>
    <w:rsid w:val="187F5252"/>
    <w:rsid w:val="1A741E55"/>
    <w:rsid w:val="1AEF10EC"/>
    <w:rsid w:val="1BFC63F2"/>
    <w:rsid w:val="1C2F1F24"/>
    <w:rsid w:val="1DF7938C"/>
    <w:rsid w:val="1EFFF288"/>
    <w:rsid w:val="1FBFCF43"/>
    <w:rsid w:val="1FFBC5E3"/>
    <w:rsid w:val="24F560A3"/>
    <w:rsid w:val="27F6FE3E"/>
    <w:rsid w:val="2BF7FA48"/>
    <w:rsid w:val="2BFF353C"/>
    <w:rsid w:val="2E5F6AEA"/>
    <w:rsid w:val="2EE98E8D"/>
    <w:rsid w:val="2EEF994D"/>
    <w:rsid w:val="2F08D62B"/>
    <w:rsid w:val="2FFB21E5"/>
    <w:rsid w:val="32BBD8C0"/>
    <w:rsid w:val="32BEB7B9"/>
    <w:rsid w:val="33FB2866"/>
    <w:rsid w:val="356E081E"/>
    <w:rsid w:val="35FF5FFA"/>
    <w:rsid w:val="364B8A04"/>
    <w:rsid w:val="37EA8D5E"/>
    <w:rsid w:val="392F0362"/>
    <w:rsid w:val="39437A4A"/>
    <w:rsid w:val="399E6D1E"/>
    <w:rsid w:val="39F7DF64"/>
    <w:rsid w:val="39FF6D4C"/>
    <w:rsid w:val="3A7E55C0"/>
    <w:rsid w:val="3AAD811B"/>
    <w:rsid w:val="3AF56626"/>
    <w:rsid w:val="3AFE9BA5"/>
    <w:rsid w:val="3B4007CD"/>
    <w:rsid w:val="3BDFCBA6"/>
    <w:rsid w:val="3BF76C69"/>
    <w:rsid w:val="3BFCC9D2"/>
    <w:rsid w:val="3D4DB4A7"/>
    <w:rsid w:val="3DBF1F21"/>
    <w:rsid w:val="3EB679ED"/>
    <w:rsid w:val="3EB73C5D"/>
    <w:rsid w:val="3EDBD265"/>
    <w:rsid w:val="3F6FBC20"/>
    <w:rsid w:val="3F75428E"/>
    <w:rsid w:val="3F7F9BBB"/>
    <w:rsid w:val="3F973E6D"/>
    <w:rsid w:val="3FF12478"/>
    <w:rsid w:val="3FF6502E"/>
    <w:rsid w:val="3FF77B26"/>
    <w:rsid w:val="3FFD31A2"/>
    <w:rsid w:val="3FFF6295"/>
    <w:rsid w:val="3FFFADCB"/>
    <w:rsid w:val="45F2A24A"/>
    <w:rsid w:val="47EF2909"/>
    <w:rsid w:val="4BDFEFC2"/>
    <w:rsid w:val="4CD82500"/>
    <w:rsid w:val="4FAF1EE7"/>
    <w:rsid w:val="4FB7EC13"/>
    <w:rsid w:val="4FEFC94F"/>
    <w:rsid w:val="4FFDA244"/>
    <w:rsid w:val="52EF4D85"/>
    <w:rsid w:val="53AE6976"/>
    <w:rsid w:val="53DDAEC6"/>
    <w:rsid w:val="53FF0609"/>
    <w:rsid w:val="54E7498E"/>
    <w:rsid w:val="56DAD3E1"/>
    <w:rsid w:val="575434DF"/>
    <w:rsid w:val="57CBA5DA"/>
    <w:rsid w:val="58FE183C"/>
    <w:rsid w:val="5947258D"/>
    <w:rsid w:val="5BCE3FA9"/>
    <w:rsid w:val="5BDF0761"/>
    <w:rsid w:val="5BF476F1"/>
    <w:rsid w:val="5BFF70F8"/>
    <w:rsid w:val="5CDD08E4"/>
    <w:rsid w:val="5CF70ADB"/>
    <w:rsid w:val="5D9F8843"/>
    <w:rsid w:val="5DDDF812"/>
    <w:rsid w:val="5DEFC89E"/>
    <w:rsid w:val="5DFDB510"/>
    <w:rsid w:val="5E57AD17"/>
    <w:rsid w:val="5EE86E61"/>
    <w:rsid w:val="5F3F0E2F"/>
    <w:rsid w:val="5F4FB900"/>
    <w:rsid w:val="5F721579"/>
    <w:rsid w:val="5F7740B7"/>
    <w:rsid w:val="5F7D936B"/>
    <w:rsid w:val="5FB794B0"/>
    <w:rsid w:val="5FDD766E"/>
    <w:rsid w:val="5FDEB0FF"/>
    <w:rsid w:val="5FF25B04"/>
    <w:rsid w:val="5FF78778"/>
    <w:rsid w:val="5FF7BA1B"/>
    <w:rsid w:val="5FFD98F1"/>
    <w:rsid w:val="5FFF587D"/>
    <w:rsid w:val="61EDCA19"/>
    <w:rsid w:val="63EFB6D8"/>
    <w:rsid w:val="64A455F2"/>
    <w:rsid w:val="65DF1977"/>
    <w:rsid w:val="667E90FC"/>
    <w:rsid w:val="66FF6FDB"/>
    <w:rsid w:val="67DBEB7E"/>
    <w:rsid w:val="67FC0D54"/>
    <w:rsid w:val="6B3FB7EF"/>
    <w:rsid w:val="6BBB0E63"/>
    <w:rsid w:val="6BCFDF0F"/>
    <w:rsid w:val="6BF56DAE"/>
    <w:rsid w:val="6D8308DF"/>
    <w:rsid w:val="6DD1745E"/>
    <w:rsid w:val="6DE7332C"/>
    <w:rsid w:val="6DFFD4EB"/>
    <w:rsid w:val="6E1F38F9"/>
    <w:rsid w:val="6E5DCF17"/>
    <w:rsid w:val="6EEF0D5C"/>
    <w:rsid w:val="6F5D4B73"/>
    <w:rsid w:val="6F7E93AF"/>
    <w:rsid w:val="6F7F8B60"/>
    <w:rsid w:val="6FB58D42"/>
    <w:rsid w:val="6FBE5F72"/>
    <w:rsid w:val="6FDE8038"/>
    <w:rsid w:val="6FDF3D2A"/>
    <w:rsid w:val="6FED6376"/>
    <w:rsid w:val="6FF5AE67"/>
    <w:rsid w:val="6FF6E558"/>
    <w:rsid w:val="6FF72850"/>
    <w:rsid w:val="6FF75815"/>
    <w:rsid w:val="6FFE64D4"/>
    <w:rsid w:val="71B775FC"/>
    <w:rsid w:val="71FBFB95"/>
    <w:rsid w:val="72FE4CCC"/>
    <w:rsid w:val="73EF077A"/>
    <w:rsid w:val="73F3BC63"/>
    <w:rsid w:val="748F0E3C"/>
    <w:rsid w:val="74EF4D9F"/>
    <w:rsid w:val="74FE44D8"/>
    <w:rsid w:val="757F6B5F"/>
    <w:rsid w:val="76ED7B5E"/>
    <w:rsid w:val="76EFA385"/>
    <w:rsid w:val="76FF3EA8"/>
    <w:rsid w:val="77568EC1"/>
    <w:rsid w:val="777ED693"/>
    <w:rsid w:val="777F2B47"/>
    <w:rsid w:val="77B9D638"/>
    <w:rsid w:val="77BF22C8"/>
    <w:rsid w:val="77DE0512"/>
    <w:rsid w:val="77F7477A"/>
    <w:rsid w:val="77FB72C7"/>
    <w:rsid w:val="77FFD1C7"/>
    <w:rsid w:val="77FFEE45"/>
    <w:rsid w:val="797E015C"/>
    <w:rsid w:val="79F722A7"/>
    <w:rsid w:val="79FF21E8"/>
    <w:rsid w:val="79FFC1F4"/>
    <w:rsid w:val="7A6F4E8D"/>
    <w:rsid w:val="7A774102"/>
    <w:rsid w:val="7AFB3CC3"/>
    <w:rsid w:val="7B3D4D29"/>
    <w:rsid w:val="7B5762C7"/>
    <w:rsid w:val="7BB65F90"/>
    <w:rsid w:val="7BCD6BE3"/>
    <w:rsid w:val="7BDB1A4D"/>
    <w:rsid w:val="7BEF41CB"/>
    <w:rsid w:val="7BF7BEED"/>
    <w:rsid w:val="7BFB1CFD"/>
    <w:rsid w:val="7BFB6141"/>
    <w:rsid w:val="7BFE5B9D"/>
    <w:rsid w:val="7C6F4062"/>
    <w:rsid w:val="7CDF75C1"/>
    <w:rsid w:val="7CE52993"/>
    <w:rsid w:val="7CEDE517"/>
    <w:rsid w:val="7CF7126D"/>
    <w:rsid w:val="7D5B8C9A"/>
    <w:rsid w:val="7D6A5B15"/>
    <w:rsid w:val="7D940FDB"/>
    <w:rsid w:val="7DB79C38"/>
    <w:rsid w:val="7DD36F69"/>
    <w:rsid w:val="7DE7500F"/>
    <w:rsid w:val="7DFECA0B"/>
    <w:rsid w:val="7DFF06EB"/>
    <w:rsid w:val="7DFF797C"/>
    <w:rsid w:val="7E7F9C7E"/>
    <w:rsid w:val="7EB08FB7"/>
    <w:rsid w:val="7EBA2323"/>
    <w:rsid w:val="7ECF1012"/>
    <w:rsid w:val="7EDEAA31"/>
    <w:rsid w:val="7EE72514"/>
    <w:rsid w:val="7EED903C"/>
    <w:rsid w:val="7EEDD475"/>
    <w:rsid w:val="7EF31331"/>
    <w:rsid w:val="7EF7463D"/>
    <w:rsid w:val="7F2796D0"/>
    <w:rsid w:val="7F2FB616"/>
    <w:rsid w:val="7F350C81"/>
    <w:rsid w:val="7F598DF3"/>
    <w:rsid w:val="7F5D984E"/>
    <w:rsid w:val="7F7359AF"/>
    <w:rsid w:val="7F73E21E"/>
    <w:rsid w:val="7F7A078A"/>
    <w:rsid w:val="7F7F5069"/>
    <w:rsid w:val="7F7FB2A2"/>
    <w:rsid w:val="7F7FF51F"/>
    <w:rsid w:val="7F970E87"/>
    <w:rsid w:val="7FBB7E45"/>
    <w:rsid w:val="7FCBAB05"/>
    <w:rsid w:val="7FCF2BE3"/>
    <w:rsid w:val="7FD1B0D6"/>
    <w:rsid w:val="7FDDE374"/>
    <w:rsid w:val="7FDE3C81"/>
    <w:rsid w:val="7FDE4EF6"/>
    <w:rsid w:val="7FDFB2B3"/>
    <w:rsid w:val="7FDFF817"/>
    <w:rsid w:val="7FEBA486"/>
    <w:rsid w:val="7FED870F"/>
    <w:rsid w:val="7FEEAA73"/>
    <w:rsid w:val="7FEEBB25"/>
    <w:rsid w:val="7FEF8BB5"/>
    <w:rsid w:val="7FF633A7"/>
    <w:rsid w:val="7FF7462B"/>
    <w:rsid w:val="7FF90227"/>
    <w:rsid w:val="7FFAC5BA"/>
    <w:rsid w:val="7FFC7711"/>
    <w:rsid w:val="7FFDE7A9"/>
    <w:rsid w:val="7FFDFDCD"/>
    <w:rsid w:val="7FFEE2E4"/>
    <w:rsid w:val="7FFF225C"/>
    <w:rsid w:val="7FFF4997"/>
    <w:rsid w:val="7FFF558A"/>
    <w:rsid w:val="7FFF8D49"/>
    <w:rsid w:val="7FFF9D57"/>
    <w:rsid w:val="7FFFEC63"/>
    <w:rsid w:val="837F4661"/>
    <w:rsid w:val="83F680AC"/>
    <w:rsid w:val="8BDED8EF"/>
    <w:rsid w:val="8FFE6FDB"/>
    <w:rsid w:val="91FF4E99"/>
    <w:rsid w:val="93F0EB29"/>
    <w:rsid w:val="973D751F"/>
    <w:rsid w:val="977F58E4"/>
    <w:rsid w:val="9DFBACD6"/>
    <w:rsid w:val="9EB7A845"/>
    <w:rsid w:val="9F9FE912"/>
    <w:rsid w:val="9FCD9C73"/>
    <w:rsid w:val="9FF61AE5"/>
    <w:rsid w:val="9FFBC47F"/>
    <w:rsid w:val="A2B00009"/>
    <w:rsid w:val="A6DF4B6C"/>
    <w:rsid w:val="A7AF9616"/>
    <w:rsid w:val="A94BDC42"/>
    <w:rsid w:val="A98FFCBA"/>
    <w:rsid w:val="ABBB31C0"/>
    <w:rsid w:val="ABCD7767"/>
    <w:rsid w:val="AD3EA8C7"/>
    <w:rsid w:val="AE6BA504"/>
    <w:rsid w:val="AEB976ED"/>
    <w:rsid w:val="AF7FAB6A"/>
    <w:rsid w:val="AFBEF172"/>
    <w:rsid w:val="B1671178"/>
    <w:rsid w:val="B36F0A8D"/>
    <w:rsid w:val="B55F74D2"/>
    <w:rsid w:val="B5F9CB37"/>
    <w:rsid w:val="B7BF7042"/>
    <w:rsid w:val="B7EF4CE6"/>
    <w:rsid w:val="B7FE4062"/>
    <w:rsid w:val="B9BD2E3A"/>
    <w:rsid w:val="B9FD0381"/>
    <w:rsid w:val="BA3F61B6"/>
    <w:rsid w:val="BA7B3EE7"/>
    <w:rsid w:val="BB3B5F92"/>
    <w:rsid w:val="BBE61D81"/>
    <w:rsid w:val="BBE7E14B"/>
    <w:rsid w:val="BBEF4F50"/>
    <w:rsid w:val="BC642D14"/>
    <w:rsid w:val="BCDFA1C4"/>
    <w:rsid w:val="BE5F3F9C"/>
    <w:rsid w:val="BE6FB2D0"/>
    <w:rsid w:val="BE7D5E56"/>
    <w:rsid w:val="BE7D9400"/>
    <w:rsid w:val="BE7EF2E6"/>
    <w:rsid w:val="BEB612B3"/>
    <w:rsid w:val="BEFBB0CC"/>
    <w:rsid w:val="BF5A7E5A"/>
    <w:rsid w:val="BF5B846C"/>
    <w:rsid w:val="BF5E9973"/>
    <w:rsid w:val="BF74CA8D"/>
    <w:rsid w:val="BF7716F4"/>
    <w:rsid w:val="BF8E0676"/>
    <w:rsid w:val="BFBF57B9"/>
    <w:rsid w:val="BFC22548"/>
    <w:rsid w:val="BFDF390B"/>
    <w:rsid w:val="BFEE9013"/>
    <w:rsid w:val="BFEF6535"/>
    <w:rsid w:val="BFF8AD26"/>
    <w:rsid w:val="BFFDD397"/>
    <w:rsid w:val="BFFE565D"/>
    <w:rsid w:val="BFFF0496"/>
    <w:rsid w:val="C41F096C"/>
    <w:rsid w:val="C4BDBF52"/>
    <w:rsid w:val="C8BFDDA5"/>
    <w:rsid w:val="CAE751FB"/>
    <w:rsid w:val="CFA77E1A"/>
    <w:rsid w:val="CFBD22A7"/>
    <w:rsid w:val="CFFD291E"/>
    <w:rsid w:val="CFFD69FF"/>
    <w:rsid w:val="CFFE9DB0"/>
    <w:rsid w:val="CFFFAD72"/>
    <w:rsid w:val="D0FDE260"/>
    <w:rsid w:val="D2FFE6B0"/>
    <w:rsid w:val="D4BF626C"/>
    <w:rsid w:val="D5FF4536"/>
    <w:rsid w:val="D7E739C7"/>
    <w:rsid w:val="D7FF43C4"/>
    <w:rsid w:val="D97DB3D7"/>
    <w:rsid w:val="DB5D46FF"/>
    <w:rsid w:val="DBA9D09D"/>
    <w:rsid w:val="DC7BE371"/>
    <w:rsid w:val="DD7FB8D5"/>
    <w:rsid w:val="DDFB63A6"/>
    <w:rsid w:val="DE3B9B8C"/>
    <w:rsid w:val="DEA67308"/>
    <w:rsid w:val="DEFFC7D7"/>
    <w:rsid w:val="DF6DB741"/>
    <w:rsid w:val="DFD03B6B"/>
    <w:rsid w:val="DFDDF0B8"/>
    <w:rsid w:val="DFDF9EFE"/>
    <w:rsid w:val="DFF78B4E"/>
    <w:rsid w:val="DFFDFDF4"/>
    <w:rsid w:val="E3C7600C"/>
    <w:rsid w:val="E3FB038A"/>
    <w:rsid w:val="E4DF3ED4"/>
    <w:rsid w:val="E6CF7160"/>
    <w:rsid w:val="E7677C5E"/>
    <w:rsid w:val="E79BDD9C"/>
    <w:rsid w:val="E79E56D1"/>
    <w:rsid w:val="E7DFA418"/>
    <w:rsid w:val="E7EDB6DE"/>
    <w:rsid w:val="E7FCC7CF"/>
    <w:rsid w:val="E7FF1A6F"/>
    <w:rsid w:val="E8DFDF24"/>
    <w:rsid w:val="E8FA4B94"/>
    <w:rsid w:val="E97E0D83"/>
    <w:rsid w:val="E9F38A96"/>
    <w:rsid w:val="EA5F2A8D"/>
    <w:rsid w:val="EAF72DD3"/>
    <w:rsid w:val="EBE75F7F"/>
    <w:rsid w:val="EBF79BF8"/>
    <w:rsid w:val="ECDD883A"/>
    <w:rsid w:val="EDB7D207"/>
    <w:rsid w:val="EDB9AC37"/>
    <w:rsid w:val="EDE2BB5D"/>
    <w:rsid w:val="EDFB90A1"/>
    <w:rsid w:val="EDFBF87F"/>
    <w:rsid w:val="EE0F206C"/>
    <w:rsid w:val="EE589939"/>
    <w:rsid w:val="EEA5F9EA"/>
    <w:rsid w:val="EEB76444"/>
    <w:rsid w:val="EEFB832E"/>
    <w:rsid w:val="EEFBE449"/>
    <w:rsid w:val="EF37644A"/>
    <w:rsid w:val="EF3F00D0"/>
    <w:rsid w:val="EF8EC1AA"/>
    <w:rsid w:val="EF99ACE2"/>
    <w:rsid w:val="EFBBDDD7"/>
    <w:rsid w:val="EFE76106"/>
    <w:rsid w:val="EFEAA068"/>
    <w:rsid w:val="EFF45D10"/>
    <w:rsid w:val="EFF77888"/>
    <w:rsid w:val="EFF8D337"/>
    <w:rsid w:val="F17EBBF2"/>
    <w:rsid w:val="F37FCEA9"/>
    <w:rsid w:val="F39D05F8"/>
    <w:rsid w:val="F3FFBA64"/>
    <w:rsid w:val="F3FFFABE"/>
    <w:rsid w:val="F4EB2B5A"/>
    <w:rsid w:val="F577CB3E"/>
    <w:rsid w:val="F5CB0166"/>
    <w:rsid w:val="F5DDAF31"/>
    <w:rsid w:val="F5EABB99"/>
    <w:rsid w:val="F5EF49E8"/>
    <w:rsid w:val="F5FF9433"/>
    <w:rsid w:val="F6AEB165"/>
    <w:rsid w:val="F6D7D1CE"/>
    <w:rsid w:val="F6EEAD22"/>
    <w:rsid w:val="F6F71AF3"/>
    <w:rsid w:val="F78DE29C"/>
    <w:rsid w:val="F7BC6EDB"/>
    <w:rsid w:val="F7D02043"/>
    <w:rsid w:val="F7E3A623"/>
    <w:rsid w:val="F7E3F2C1"/>
    <w:rsid w:val="F7EB59D7"/>
    <w:rsid w:val="F7FF204A"/>
    <w:rsid w:val="F7FF9519"/>
    <w:rsid w:val="F9D1AAD9"/>
    <w:rsid w:val="FA5665BC"/>
    <w:rsid w:val="FA7FCF12"/>
    <w:rsid w:val="FAFBCE4B"/>
    <w:rsid w:val="FAFD1C73"/>
    <w:rsid w:val="FB5DAB2E"/>
    <w:rsid w:val="FB762AD3"/>
    <w:rsid w:val="FB8F6848"/>
    <w:rsid w:val="FBBB8663"/>
    <w:rsid w:val="FBD5DBC8"/>
    <w:rsid w:val="FBD719E6"/>
    <w:rsid w:val="FBE175B2"/>
    <w:rsid w:val="FBF7453F"/>
    <w:rsid w:val="FBF9D9EB"/>
    <w:rsid w:val="FBFC9973"/>
    <w:rsid w:val="FBFDE37E"/>
    <w:rsid w:val="FBFF4924"/>
    <w:rsid w:val="FC538521"/>
    <w:rsid w:val="FD938051"/>
    <w:rsid w:val="FDBF9571"/>
    <w:rsid w:val="FDEF85FF"/>
    <w:rsid w:val="FDF04FAB"/>
    <w:rsid w:val="FDFEBE95"/>
    <w:rsid w:val="FDFF0FFD"/>
    <w:rsid w:val="FDFFA9F4"/>
    <w:rsid w:val="FE6BF6AC"/>
    <w:rsid w:val="FE9D91CE"/>
    <w:rsid w:val="FEAB0A53"/>
    <w:rsid w:val="FEAF7241"/>
    <w:rsid w:val="FEDE6715"/>
    <w:rsid w:val="FEEBED0E"/>
    <w:rsid w:val="FEED46FE"/>
    <w:rsid w:val="FEEF16D1"/>
    <w:rsid w:val="FEF85D40"/>
    <w:rsid w:val="FEFF7FDA"/>
    <w:rsid w:val="FF0C6818"/>
    <w:rsid w:val="FF2B6562"/>
    <w:rsid w:val="FF3676A1"/>
    <w:rsid w:val="FF432526"/>
    <w:rsid w:val="FF73FA58"/>
    <w:rsid w:val="FF7633E5"/>
    <w:rsid w:val="FF7FA5F8"/>
    <w:rsid w:val="FF97B74D"/>
    <w:rsid w:val="FFB7E9AB"/>
    <w:rsid w:val="FFBD239F"/>
    <w:rsid w:val="FFBD87AB"/>
    <w:rsid w:val="FFBF05B3"/>
    <w:rsid w:val="FFC65CB2"/>
    <w:rsid w:val="FFCE2881"/>
    <w:rsid w:val="FFDF4E68"/>
    <w:rsid w:val="FFDFA0D9"/>
    <w:rsid w:val="FFE59A62"/>
    <w:rsid w:val="FFE7713C"/>
    <w:rsid w:val="FFED466D"/>
    <w:rsid w:val="FFEDCA34"/>
    <w:rsid w:val="FFF7374C"/>
    <w:rsid w:val="FFF769D4"/>
    <w:rsid w:val="FFF9CA04"/>
    <w:rsid w:val="FFFB9375"/>
    <w:rsid w:val="FFFB9859"/>
    <w:rsid w:val="FFFBA8F6"/>
    <w:rsid w:val="FFFF0953"/>
    <w:rsid w:val="FFFF1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99"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paragraph" w:styleId="3">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99"/>
    <w:pPr>
      <w:suppressAutoHyphens/>
      <w:ind w:firstLine="200" w:firstLineChars="200"/>
    </w:pPr>
    <w:rPr>
      <w:rFonts w:ascii="Calibri" w:hAnsi="Calibri" w:eastAsia="宋体" w:cs="Times New Roman"/>
    </w:rPr>
  </w:style>
  <w:style w:type="paragraph" w:styleId="5">
    <w:name w:val="toa heading"/>
    <w:basedOn w:val="1"/>
    <w:next w:val="1"/>
    <w:unhideWhenUsed/>
    <w:qFormat/>
    <w:uiPriority w:val="99"/>
    <w:pPr>
      <w:spacing w:before="120"/>
    </w:pPr>
    <w:rPr>
      <w:rFonts w:ascii="Arial" w:hAnsi="Arial" w:eastAsia="等线" w:cs="Times New Roman"/>
      <w:sz w:val="24"/>
      <w:szCs w:val="22"/>
    </w:rPr>
  </w:style>
  <w:style w:type="paragraph" w:styleId="6">
    <w:name w:val="Body Text"/>
    <w:basedOn w:val="1"/>
    <w:next w:val="1"/>
    <w:link w:val="24"/>
    <w:qFormat/>
    <w:uiPriority w:val="0"/>
    <w:rPr>
      <w:rFonts w:ascii="Times New Roman" w:hAnsi="Times New Roman" w:eastAsia="宋体" w:cs="Times New Roman"/>
    </w:rPr>
  </w:style>
  <w:style w:type="paragraph" w:styleId="7">
    <w:name w:val="Plain Text"/>
    <w:basedOn w:val="1"/>
    <w:qFormat/>
    <w:uiPriority w:val="0"/>
    <w:pPr>
      <w:widowControl/>
    </w:pPr>
    <w:rPr>
      <w:rFonts w:ascii="宋体" w:hAnsi="Courier New" w:eastAsia="宋体" w:cs="Courier New"/>
      <w:szCs w:val="21"/>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0">
    <w:name w:val="footnote text"/>
    <w:basedOn w:val="1"/>
    <w:qFormat/>
    <w:uiPriority w:val="0"/>
    <w:pPr>
      <w:widowControl/>
      <w:snapToGrid w:val="0"/>
      <w:jc w:val="left"/>
    </w:pPr>
    <w:rPr>
      <w:rFonts w:ascii="Times New Roman" w:hAnsi="Times New Roman" w:eastAsia="宋体" w:cs="Times New Roman"/>
      <w:sz w:val="18"/>
      <w:szCs w:val="18"/>
    </w:rPr>
  </w:style>
  <w:style w:type="paragraph" w:styleId="11">
    <w:name w:val="index 9"/>
    <w:basedOn w:val="1"/>
    <w:next w:val="1"/>
    <w:qFormat/>
    <w:uiPriority w:val="99"/>
    <w:pPr>
      <w:ind w:left="1600" w:leftChars="1600"/>
    </w:pPr>
  </w:style>
  <w:style w:type="paragraph" w:styleId="12">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3">
    <w:name w:val="Normal (Web)"/>
    <w:basedOn w:val="1"/>
    <w:qFormat/>
    <w:uiPriority w:val="0"/>
    <w:pPr>
      <w:widowControl/>
      <w:spacing w:before="100" w:beforeAutospacing="1" w:after="100" w:afterAutospacing="1"/>
      <w:jc w:val="left"/>
    </w:pPr>
    <w:rPr>
      <w:rFonts w:ascii="Times New Roman" w:hAnsi="Times New Roman" w:eastAsia="宋体" w:cs="Times New Roman"/>
      <w:kern w:val="0"/>
      <w:sz w:val="24"/>
      <w:szCs w:val="20"/>
    </w:rPr>
  </w:style>
  <w:style w:type="paragraph" w:styleId="14">
    <w:name w:val="Body Text First Indent"/>
    <w:basedOn w:val="1"/>
    <w:next w:val="1"/>
    <w:qFormat/>
    <w:uiPriority w:val="0"/>
    <w:pPr>
      <w:ind w:firstLine="420" w:firstLineChars="100"/>
    </w:pPr>
    <w:rPr>
      <w:rFonts w:ascii="Calibri" w:hAnsi="Calibri" w:eastAsia="宋体" w:cs="Times New Roman"/>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22"/>
    <w:rPr>
      <w:b/>
      <w:bCs/>
    </w:rPr>
  </w:style>
  <w:style w:type="paragraph" w:customStyle="1" w:styleId="19">
    <w:name w:val="p0"/>
    <w:basedOn w:val="1"/>
    <w:qFormat/>
    <w:uiPriority w:val="0"/>
    <w:pPr>
      <w:widowControl/>
    </w:pPr>
    <w:rPr>
      <w:rFonts w:ascii="宋体" w:hAnsi="等线" w:eastAsia="等线" w:cs="宋体"/>
      <w:kern w:val="0"/>
      <w:szCs w:val="21"/>
    </w:rPr>
  </w:style>
  <w:style w:type="paragraph" w:customStyle="1" w:styleId="20">
    <w:name w:val="列出段落1"/>
    <w:basedOn w:val="1"/>
    <w:qFormat/>
    <w:uiPriority w:val="0"/>
    <w:pPr>
      <w:ind w:firstLine="420" w:firstLineChars="200"/>
    </w:pPr>
    <w:rPr>
      <w:rFonts w:ascii="等线" w:hAnsi="等线" w:eastAsia="等线" w:cs="Times New Roman"/>
      <w:szCs w:val="22"/>
    </w:rPr>
  </w:style>
  <w:style w:type="paragraph" w:customStyle="1" w:styleId="21">
    <w:name w:val="引文目录标题1"/>
    <w:basedOn w:val="1"/>
    <w:next w:val="1"/>
    <w:qFormat/>
    <w:uiPriority w:val="0"/>
    <w:rPr>
      <w:rFonts w:ascii="Arial" w:hAnsi="Arial" w:eastAsia="宋体" w:cs="Arial"/>
      <w:sz w:val="24"/>
    </w:rPr>
  </w:style>
  <w:style w:type="paragraph" w:customStyle="1" w:styleId="22">
    <w:name w:val="toa heading1"/>
    <w:basedOn w:val="1"/>
    <w:next w:val="1"/>
    <w:qFormat/>
    <w:uiPriority w:val="0"/>
    <w:pPr>
      <w:widowControl/>
      <w:spacing w:before="120"/>
    </w:pPr>
    <w:rPr>
      <w:rFonts w:ascii="Arial" w:hAnsi="Arial" w:eastAsia="宋体" w:cs="Times New Roman"/>
      <w:sz w:val="24"/>
      <w:szCs w:val="20"/>
    </w:rPr>
  </w:style>
  <w:style w:type="paragraph" w:customStyle="1" w:styleId="23">
    <w:name w:val="Default"/>
    <w:qFormat/>
    <w:uiPriority w:val="99"/>
    <w:pPr>
      <w:widowControl w:val="0"/>
      <w:autoSpaceDE w:val="0"/>
      <w:autoSpaceDN w:val="0"/>
      <w:adjustRightInd w:val="0"/>
    </w:pPr>
    <w:rPr>
      <w:rFonts w:ascii="Calibri" w:hAnsi="Calibri" w:eastAsia="宋体" w:cs="Times New Roman"/>
      <w:color w:val="000000"/>
      <w:sz w:val="24"/>
      <w:szCs w:val="24"/>
      <w:lang w:val="en-US" w:eastAsia="zh-CN" w:bidi="ar-SA"/>
    </w:rPr>
  </w:style>
  <w:style w:type="character" w:customStyle="1" w:styleId="24">
    <w:name w:val="正文文本 字符"/>
    <w:basedOn w:val="17"/>
    <w:link w:val="6"/>
    <w:qFormat/>
    <w:uiPriority w:val="0"/>
    <w:rPr>
      <w:kern w:val="2"/>
      <w:sz w:val="21"/>
      <w:szCs w:val="24"/>
    </w:rPr>
  </w:style>
  <w:style w:type="character" w:customStyle="1" w:styleId="25">
    <w:name w:val="NormalCharacter"/>
    <w:link w:val="26"/>
    <w:semiHidden/>
    <w:qFormat/>
    <w:uiPriority w:val="0"/>
    <w:rPr>
      <w:rFonts w:ascii="Calibri" w:hAnsi="Calibri" w:eastAsia="宋体"/>
      <w:szCs w:val="24"/>
    </w:rPr>
  </w:style>
  <w:style w:type="paragraph" w:customStyle="1" w:styleId="26">
    <w:name w:val="UserStyle_2"/>
    <w:basedOn w:val="27"/>
    <w:next w:val="1"/>
    <w:link w:val="25"/>
    <w:qFormat/>
    <w:uiPriority w:val="0"/>
    <w:pPr>
      <w:widowControl/>
      <w:spacing w:after="120" w:afterLines="0"/>
      <w:ind w:left="420" w:leftChars="200" w:firstLine="420" w:firstLineChars="200"/>
      <w:jc w:val="both"/>
      <w:textAlignment w:val="baseline"/>
    </w:pPr>
    <w:rPr>
      <w:rFonts w:ascii="Calibri" w:hAnsi="Calibri" w:eastAsia="宋体"/>
      <w:szCs w:val="24"/>
    </w:rPr>
  </w:style>
  <w:style w:type="paragraph" w:customStyle="1" w:styleId="27">
    <w:name w:val="UserStyle_3"/>
    <w:basedOn w:val="1"/>
    <w:qFormat/>
    <w:uiPriority w:val="0"/>
    <w:pPr>
      <w:widowControl/>
      <w:spacing w:after="120" w:afterLines="0"/>
      <w:ind w:left="420" w:leftChars="200"/>
      <w:jc w:val="both"/>
      <w:textAlignment w:val="baseline"/>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3281</Words>
  <Characters>3321</Characters>
  <Lines>26</Lines>
  <Paragraphs>7</Paragraphs>
  <TotalTime>11</TotalTime>
  <ScaleCrop>false</ScaleCrop>
  <LinksUpToDate>false</LinksUpToDate>
  <CharactersWithSpaces>3490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2023-06-23T15:55:00Z</dcterms:created>
  <dc:creator>uos</dc:creator>
  <cp:lastModifiedBy>lenovo</cp:lastModifiedBy>
  <cp:lastPrinted>2024-06-28T03:40:00Z</cp:lastPrinted>
  <dcterms:modified xsi:type="dcterms:W3CDTF">2026-05-15T10:17:01Z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47934581FF8F4166ABBCAC532272D530_13</vt:lpwstr>
  </property>
</Properties>
</file>