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tabs>
          <w:tab w:val="left" w:pos="680"/>
          <w:tab w:val="left" w:pos="4225"/>
        </w:tabs>
        <w:spacing w:line="500" w:lineRule="exact"/>
        <w:jc w:val="both"/>
        <w:outlineLvl w:val="1"/>
        <w:rPr>
          <w:rFonts w:hint="default" w:ascii="Times New Roman" w:hAnsi="Times New Roman" w:eastAsia="黑体" w:cs="Times New Roman"/>
          <w:bCs/>
          <w:kern w:val="0"/>
          <w:sz w:val="32"/>
          <w:szCs w:val="32"/>
          <w:highlight w:val="none"/>
          <w:lang w:val="en-US" w:eastAsia="zh-CN" w:bidi="zh-CN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highlight w:val="none"/>
          <w:lang w:val="en-US" w:eastAsia="zh-CN" w:bidi="zh-CN"/>
        </w:rPr>
        <w:t>附件</w:t>
      </w:r>
    </w:p>
    <w:p>
      <w:pPr>
        <w:widowControl w:val="0"/>
        <w:numPr>
          <w:ilvl w:val="0"/>
          <w:numId w:val="0"/>
        </w:numPr>
        <w:tabs>
          <w:tab w:val="left" w:pos="680"/>
          <w:tab w:val="left" w:pos="4225"/>
        </w:tabs>
        <w:spacing w:line="500" w:lineRule="exact"/>
        <w:jc w:val="center"/>
        <w:outlineLvl w:val="1"/>
        <w:rPr>
          <w:rFonts w:ascii="黑体" w:hAnsi="黑体" w:eastAsia="黑体" w:cs="黑体"/>
          <w:bCs/>
          <w:kern w:val="0"/>
          <w:sz w:val="32"/>
          <w:szCs w:val="32"/>
          <w:lang w:val="en-US" w:eastAsia="zh-CN" w:bidi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 w:bidi="zh-CN"/>
        </w:rPr>
        <w:t>石家庄市独立储能项目投资主体优选评分标准</w:t>
      </w:r>
      <w:bookmarkStart w:id="2" w:name="_GoBack"/>
      <w:bookmarkEnd w:id="2"/>
    </w:p>
    <w:tbl>
      <w:tblPr>
        <w:tblStyle w:val="17"/>
        <w:tblpPr w:leftFromText="180" w:rightFromText="180" w:vertAnchor="text" w:horzAnchor="page" w:tblpX="1482" w:tblpY="1395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5" w:type="dxa"/>
          <w:bottom w:w="0" w:type="dxa"/>
          <w:right w:w="15" w:type="dxa"/>
        </w:tblCellMar>
      </w:tblPr>
      <w:tblGrid>
        <w:gridCol w:w="331"/>
        <w:gridCol w:w="604"/>
        <w:gridCol w:w="1028"/>
        <w:gridCol w:w="4750"/>
        <w:gridCol w:w="2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  <w:t>序号</w:t>
            </w:r>
          </w:p>
        </w:tc>
        <w:tc>
          <w:tcPr>
            <w:tcW w:w="340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  <w:t>一级指标</w:t>
            </w:r>
          </w:p>
        </w:tc>
        <w:tc>
          <w:tcPr>
            <w:tcW w:w="579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  <w:t>二级指标</w:t>
            </w:r>
          </w:p>
        </w:tc>
        <w:tc>
          <w:tcPr>
            <w:tcW w:w="2675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  <w:t>评价内容及评分</w:t>
            </w:r>
            <w:r>
              <w:rPr>
                <w:rFonts w:hint="eastAsia" w:ascii="宋体" w:hAnsi="宋体" w:eastAsia="宋体" w:cs="Times New Roman"/>
                <w:b/>
                <w:color w:val="auto"/>
                <w:sz w:val="20"/>
                <w:szCs w:val="24"/>
              </w:rPr>
              <w:t>标准</w:t>
            </w:r>
          </w:p>
        </w:tc>
        <w:tc>
          <w:tcPr>
            <w:tcW w:w="1217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auto"/>
                <w:sz w:val="20"/>
                <w:szCs w:val="24"/>
              </w:rPr>
              <w:t>需提供的佐证文件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vMerge w:val="restar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1</w:t>
            </w:r>
          </w:p>
        </w:tc>
        <w:tc>
          <w:tcPr>
            <w:tcW w:w="340" w:type="pct"/>
            <w:vMerge w:val="restar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企业能力（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分）</w:t>
            </w:r>
          </w:p>
        </w:tc>
        <w:tc>
          <w:tcPr>
            <w:tcW w:w="579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投资能力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分）</w:t>
            </w:r>
          </w:p>
        </w:tc>
        <w:tc>
          <w:tcPr>
            <w:tcW w:w="2675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企业总资产：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总资产不足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亿元，得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（含）-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亿元，得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亿元及以上，得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7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分。（多个企业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入股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成立公司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的，企业总资产按所有出资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方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股比权重计算）</w:t>
            </w:r>
          </w:p>
          <w:p>
            <w:pPr>
              <w:spacing w:line="240" w:lineRule="auto"/>
              <w:ind w:firstLine="0" w:firstLineChars="0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资产负债率：资产负债率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70%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及以下得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分，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7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0%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上得2分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。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val="en-US" w:eastAsia="zh-CN"/>
              </w:rPr>
              <w:t>3.支持民营企业参与独立储能项目投资，民营企业参、控股项目得2分。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val="en-US" w:eastAsia="zh-CN"/>
              </w:rPr>
              <w:t>最高10分。</w:t>
            </w:r>
          </w:p>
        </w:tc>
        <w:tc>
          <w:tcPr>
            <w:tcW w:w="1217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由企业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或企业所属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集团公司出具企业总资产情况说明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  <w:highlight w:val="none"/>
              </w:rPr>
              <w:t>财务报表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eastAsia="zh-CN"/>
              </w:rPr>
              <w:t>及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val="en-US" w:eastAsia="zh-CN"/>
              </w:rPr>
              <w:t>2025年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eastAsia="zh-CN"/>
              </w:rPr>
              <w:t>度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  <w:highlight w:val="none"/>
              </w:rPr>
              <w:t>财务快报（至少包括企业总资产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</w:rPr>
              <w:t>、资产负债率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  <w:highlight w:val="none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highlight w:val="none"/>
                <w:lang w:val="en-US" w:eastAsia="zh-CN"/>
              </w:rPr>
              <w:t>2025年度财务审计报告，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  <w:highlight w:val="none"/>
              </w:rPr>
              <w:t>并加盖公章。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vMerge w:val="continue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340" w:type="pct"/>
            <w:vMerge w:val="continue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投产业绩（</w:t>
            </w:r>
            <w:r>
              <w:rPr>
                <w:rFonts w:hint="eastAsia" w:ascii="Calibri" w:hAnsi="Calibri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分）</w:t>
            </w:r>
          </w:p>
        </w:tc>
        <w:tc>
          <w:tcPr>
            <w:tcW w:w="2675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企业集团公司在国内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独立储能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经验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：</w:t>
            </w:r>
            <w:r>
              <w:rPr>
                <w:rFonts w:hint="eastAsia" w:ascii="Calibri" w:hAnsi="Calibri" w:eastAsia="仿宋_GB2312" w:cs="Times New Roman"/>
                <w:color w:val="auto"/>
                <w:sz w:val="22"/>
                <w:szCs w:val="24"/>
              </w:rPr>
              <w:t>没有已建成并网项目的，得0分；</w:t>
            </w:r>
            <w:r>
              <w:rPr>
                <w:rFonts w:hint="eastAsia" w:ascii="Calibri" w:hAnsi="Calibri" w:eastAsia="仿宋_GB2312" w:cs="Times New Roman"/>
                <w:color w:val="auto"/>
                <w:sz w:val="22"/>
                <w:szCs w:val="24"/>
                <w:lang w:val="en-US" w:eastAsia="zh-CN"/>
              </w:rPr>
              <w:t>建成10万千瓦以上独立储能的，每个项目得2分；在建10万千瓦以上独立储能项目的，每个项目得1分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。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最高5分，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多个企业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入股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成立公司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的，投产业绩按所有出资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方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股比权重计算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，然后根据评分标准计算得分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）</w:t>
            </w:r>
          </w:p>
        </w:tc>
        <w:tc>
          <w:tcPr>
            <w:tcW w:w="1217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由企业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或企业所属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集团公司出具投资建设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独立储能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项目情况说明，并附项目核准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（备案）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文件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及并网或施工证明材料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，均需加盖公章。若企业合资建设项目，须提供股权比例证明。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  <w:trHeight w:val="802" w:hRule="atLeast"/>
        </w:trPr>
        <w:tc>
          <w:tcPr>
            <w:tcW w:w="187" w:type="pct"/>
            <w:vMerge w:val="continue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340" w:type="pct"/>
            <w:vMerge w:val="continue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技术能力（2分）</w:t>
            </w:r>
          </w:p>
        </w:tc>
        <w:tc>
          <w:tcPr>
            <w:tcW w:w="2675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已成立国家认定的</w:t>
            </w:r>
            <w:bookmarkStart w:id="0" w:name="OLE_LINK7"/>
            <w:bookmarkStart w:id="1" w:name="OLE_LINK8"/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能源领域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技术中心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研究中心/实验室</w:t>
            </w:r>
            <w:bookmarkEnd w:id="0"/>
            <w:bookmarkEnd w:id="1"/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等得2分，省级认定的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能源领域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技术中心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研究中心/实验室等得1分。</w:t>
            </w:r>
          </w:p>
        </w:tc>
        <w:tc>
          <w:tcPr>
            <w:tcW w:w="1217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由企业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或企业所属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集团公司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提供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国家/省级有关部门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的佐证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材料。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vMerge w:val="continue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340" w:type="pct"/>
            <w:vMerge w:val="continue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579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安全管理（3分）</w:t>
            </w:r>
          </w:p>
        </w:tc>
        <w:tc>
          <w:tcPr>
            <w:tcW w:w="2675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近三年内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，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企业集团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公司在省内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能源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项目建设或运营过程中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未发生一般事故（或以上）的得3分，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每发生一起一般事故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或以上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的申报企业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1分，最高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减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。</w:t>
            </w:r>
          </w:p>
        </w:tc>
        <w:tc>
          <w:tcPr>
            <w:tcW w:w="1217" w:type="pct"/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企业集团公司根据国家能源局的《全国电力安全生产情况的通报》出具盖章承诺书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2</w:t>
            </w:r>
          </w:p>
        </w:tc>
        <w:tc>
          <w:tcPr>
            <w:tcW w:w="3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申请报告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分）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报告编制情况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分）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对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申请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报告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的设计方案、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技术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经济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合理性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（包括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但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不限于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资源利用情况、总平面布置方案、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系统方案、设备选型和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财务测算分析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方面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综合评审判定；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报告内容完善、深度满足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独立储能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项目的行业技术标准规范，且技术方案和财务测算科学合理最高得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分。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报告内容、深度欠缺，或技术经济方案不充分、不合理最低得5分。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未提供报告得0分。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申请报告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由编制单位和申报主体加盖公章。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3</w:t>
            </w:r>
          </w:p>
        </w:tc>
        <w:tc>
          <w:tcPr>
            <w:tcW w:w="3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项目示范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分）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技术先进性、示范性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分）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选用构网型逆变器等方式，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能够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提高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电网支撑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能力；</w:t>
            </w:r>
          </w:p>
          <w:p>
            <w:pPr>
              <w:numPr>
                <w:ilvl w:val="0"/>
                <w:numId w:val="0"/>
              </w:num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采用高效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电池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组件、逆变器或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大容量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高效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电池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、降噪水平较高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安全性高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的环境友好型先进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技术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设备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及控制系统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，能够有效减少项目用地，提高项目技术经济性。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结合以上情况综合评价项目先进性、示范性，得0-2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分。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申报主体出具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技术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方案说明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和相关佐证材料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并加盖公章。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相关技术方案内容在申请报告中单独章节体现。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  <w:trHeight w:val="23" w:hRule="atLeast"/>
        </w:trPr>
        <w:tc>
          <w:tcPr>
            <w:tcW w:w="1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4</w:t>
            </w:r>
          </w:p>
        </w:tc>
        <w:tc>
          <w:tcPr>
            <w:tcW w:w="3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其他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0分）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各市自主明确得分项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0分）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1.电网需求及接入（15分）：由相关专家按照电网需求贡献度给予1-15分的评分；</w:t>
            </w:r>
          </w:p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2.土地（5分）：已取得建设用地或电力用地土地证得5分；已确定地块，土地性质为建设用地或电力用地，且无制约性因素得3分；未确定地块，但有符合国土空间规划可用地块，且不涉及林地、草地、村集体用地等得1分；无可用地块得0分。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土地相关证明材料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由县级自然资源等部门出具项目选址意见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，并加盖公章。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5</w:t>
            </w:r>
          </w:p>
        </w:tc>
        <w:tc>
          <w:tcPr>
            <w:tcW w:w="34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否决项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失信黑名单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列入失信联合惩戒对象名单的企业，取消参评资格。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企业集团公司和申报主体均须提供“信用中国”网站无违法违规的查询记录（提供查询结果网页截图，并加盖申报主体公章）；境外企业需出具无违法违规的承诺函。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34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存在延期项目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开发企业存在延期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开工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项目，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val="en-US" w:eastAsia="zh-CN"/>
              </w:rPr>
              <w:t>次年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不得参评。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企业在河北省内开发项目是否存在延期开工情况，出具盖章承诺书。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cantSplit/>
        </w:trPr>
        <w:tc>
          <w:tcPr>
            <w:tcW w:w="18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34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提供虚假材料</w:t>
            </w:r>
          </w:p>
        </w:tc>
        <w:tc>
          <w:tcPr>
            <w:tcW w:w="2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2"/>
                <w:szCs w:val="24"/>
              </w:rPr>
              <w:t>查实存在弄虚作假的，取消参评资格。</w:t>
            </w:r>
          </w:p>
        </w:tc>
        <w:tc>
          <w:tcPr>
            <w:tcW w:w="1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4"/>
                <w:lang w:eastAsia="zh-CN"/>
              </w:rPr>
              <w:t>企业所报材料真实性盖章承诺书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0" w:firstLineChars="0"/>
        <w:jc w:val="both"/>
        <w:textAlignment w:val="auto"/>
        <w:rPr>
          <w:rFonts w:hint="default" w:ascii="仿宋" w:hAnsi="仿宋" w:cs="仿宋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0" w:footer="851" w:gutter="0"/>
      <w:pgNumType w:fmt="decimal"/>
      <w:cols w:space="720" w:num="1"/>
      <w:docGrid w:linePitch="565" w:charSpace="32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firstLine="0" w:firstLineChars="0"/>
      <w:jc w:val="center"/>
      <w:rPr>
        <w:rFonts w:ascii="宋体" w:hAnsi="宋体" w:eastAsia="宋体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11"/>
                  <w:ind w:firstLine="0" w:firstLineChars="0"/>
                  <w:jc w:val="center"/>
                </w:pPr>
                <w:r>
                  <w:rPr>
                    <w:rFonts w:hint="eastAsia" w:ascii="宋体" w:hAnsi="宋体" w:eastAsia="宋体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separate"/>
                </w:r>
                <w:r>
                  <w:t>2</w: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c1MzA1MjZiMjE2MjBhZTE0Y2I5MTgwMTZkZWU1YTUifQ=="/>
  </w:docVars>
  <w:rsids>
    <w:rsidRoot w:val="00000000"/>
    <w:rsid w:val="03446F12"/>
    <w:rsid w:val="03B629A7"/>
    <w:rsid w:val="061B2185"/>
    <w:rsid w:val="06994451"/>
    <w:rsid w:val="08434088"/>
    <w:rsid w:val="09B715FF"/>
    <w:rsid w:val="0ADC2C99"/>
    <w:rsid w:val="0BFA7430"/>
    <w:rsid w:val="0EA403D9"/>
    <w:rsid w:val="0F6A6731"/>
    <w:rsid w:val="13D9381C"/>
    <w:rsid w:val="13E34B17"/>
    <w:rsid w:val="148D5CFC"/>
    <w:rsid w:val="151D5511"/>
    <w:rsid w:val="17FC1C01"/>
    <w:rsid w:val="190F6A96"/>
    <w:rsid w:val="192C6DC2"/>
    <w:rsid w:val="19F709E2"/>
    <w:rsid w:val="1AFA4747"/>
    <w:rsid w:val="1B558865"/>
    <w:rsid w:val="1B6E7F89"/>
    <w:rsid w:val="1C9A4C7A"/>
    <w:rsid w:val="1DA45898"/>
    <w:rsid w:val="1DDEBEB3"/>
    <w:rsid w:val="1F7C01CE"/>
    <w:rsid w:val="1FE06E0F"/>
    <w:rsid w:val="218E337B"/>
    <w:rsid w:val="23D762F6"/>
    <w:rsid w:val="24022D00"/>
    <w:rsid w:val="242502B4"/>
    <w:rsid w:val="262030E5"/>
    <w:rsid w:val="2AC72565"/>
    <w:rsid w:val="2D9311D2"/>
    <w:rsid w:val="2FEF698A"/>
    <w:rsid w:val="35465826"/>
    <w:rsid w:val="367776D0"/>
    <w:rsid w:val="36B774C5"/>
    <w:rsid w:val="37B74D34"/>
    <w:rsid w:val="3D72284E"/>
    <w:rsid w:val="3DB7A1E2"/>
    <w:rsid w:val="3F7F8702"/>
    <w:rsid w:val="40B06DC3"/>
    <w:rsid w:val="40F308D5"/>
    <w:rsid w:val="414644E7"/>
    <w:rsid w:val="42572E2D"/>
    <w:rsid w:val="42ED2A20"/>
    <w:rsid w:val="45FA77FE"/>
    <w:rsid w:val="46DC5A82"/>
    <w:rsid w:val="4C2A52EF"/>
    <w:rsid w:val="4C9F5BDC"/>
    <w:rsid w:val="4CB46D88"/>
    <w:rsid w:val="4F331EB7"/>
    <w:rsid w:val="4FE7E96D"/>
    <w:rsid w:val="51C66E14"/>
    <w:rsid w:val="52AB1C93"/>
    <w:rsid w:val="580E206E"/>
    <w:rsid w:val="58ED77C2"/>
    <w:rsid w:val="5A150F93"/>
    <w:rsid w:val="5A7A6617"/>
    <w:rsid w:val="5A7DEDA3"/>
    <w:rsid w:val="5AA44DC7"/>
    <w:rsid w:val="5AE5481E"/>
    <w:rsid w:val="5AF2288A"/>
    <w:rsid w:val="5BFA26C5"/>
    <w:rsid w:val="5BFFEF43"/>
    <w:rsid w:val="5EED6B1D"/>
    <w:rsid w:val="64C7558E"/>
    <w:rsid w:val="65320EED"/>
    <w:rsid w:val="664B3889"/>
    <w:rsid w:val="677A0A3F"/>
    <w:rsid w:val="697EBFC2"/>
    <w:rsid w:val="69A25AE1"/>
    <w:rsid w:val="6AF529C3"/>
    <w:rsid w:val="6C276CBC"/>
    <w:rsid w:val="6E937886"/>
    <w:rsid w:val="6F2F05AC"/>
    <w:rsid w:val="6FF7846F"/>
    <w:rsid w:val="711477B4"/>
    <w:rsid w:val="736B2E52"/>
    <w:rsid w:val="741E3CD6"/>
    <w:rsid w:val="757FD862"/>
    <w:rsid w:val="75C347BB"/>
    <w:rsid w:val="79FC5761"/>
    <w:rsid w:val="7BDFA614"/>
    <w:rsid w:val="7DEB2D79"/>
    <w:rsid w:val="7EBFCEAB"/>
    <w:rsid w:val="7EC3309D"/>
    <w:rsid w:val="7EDE4BCB"/>
    <w:rsid w:val="7EFB5D4B"/>
    <w:rsid w:val="7EFF3602"/>
    <w:rsid w:val="7F1FE08A"/>
    <w:rsid w:val="7FBD4CDB"/>
    <w:rsid w:val="9BBFAD79"/>
    <w:rsid w:val="AEF27109"/>
    <w:rsid w:val="BFDF450E"/>
    <w:rsid w:val="EDFFAF0D"/>
    <w:rsid w:val="EFDBC664"/>
    <w:rsid w:val="F3FEAAF4"/>
    <w:rsid w:val="F5FFE052"/>
    <w:rsid w:val="F6DF0E6E"/>
    <w:rsid w:val="FA6E194B"/>
    <w:rsid w:val="FACF6E02"/>
    <w:rsid w:val="FFFF6D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3" w:semiHidden="0" w:name="heading 1"/>
    <w:lsdException w:qFormat="1" w:uiPriority="4" w:semiHidden="0" w:name="heading 2"/>
    <w:lsdException w:qFormat="1" w:uiPriority="5" w:semiHidden="0" w:name="heading 3"/>
    <w:lsdException w:qFormat="1" w:uiPriority="6" w:semiHidden="0" w:name="heading 4"/>
    <w:lsdException w:qFormat="1" w:uiPriority="4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qFormat="1" w:unhideWhenUsed="0" w:uiPriority="0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2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8" w:lineRule="exact"/>
      <w:ind w:firstLine="200" w:firstLineChars="200"/>
      <w:jc w:val="both"/>
    </w:pPr>
    <w:rPr>
      <w:rFonts w:ascii="宋体" w:hAnsi="宋体" w:eastAsia="仿宋" w:cs="黑体"/>
      <w:kern w:val="2"/>
      <w:sz w:val="32"/>
      <w:szCs w:val="30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3"/>
    <w:pPr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22"/>
    <w:unhideWhenUsed/>
    <w:qFormat/>
    <w:uiPriority w:val="4"/>
    <w:pPr>
      <w:ind w:firstLine="643"/>
      <w:outlineLvl w:val="1"/>
    </w:pPr>
    <w:rPr>
      <w:rFonts w:eastAsia="楷体" w:cs="黑体"/>
      <w:bCs/>
      <w:szCs w:val="32"/>
    </w:rPr>
  </w:style>
  <w:style w:type="paragraph" w:styleId="4">
    <w:name w:val="heading 3"/>
    <w:basedOn w:val="1"/>
    <w:next w:val="1"/>
    <w:link w:val="23"/>
    <w:unhideWhenUsed/>
    <w:qFormat/>
    <w:uiPriority w:val="5"/>
    <w:pPr>
      <w:ind w:right="400" w:rightChars="400"/>
      <w:jc w:val="right"/>
      <w:outlineLvl w:val="2"/>
    </w:pPr>
    <w:rPr>
      <w:bCs/>
      <w:szCs w:val="32"/>
    </w:rPr>
  </w:style>
  <w:style w:type="paragraph" w:styleId="5">
    <w:name w:val="heading 4"/>
    <w:basedOn w:val="1"/>
    <w:next w:val="1"/>
    <w:link w:val="24"/>
    <w:unhideWhenUsed/>
    <w:qFormat/>
    <w:uiPriority w:val="6"/>
    <w:pPr>
      <w:ind w:right="250" w:rightChars="250" w:firstLine="0" w:firstLineChars="0"/>
      <w:jc w:val="right"/>
      <w:outlineLvl w:val="3"/>
    </w:pPr>
    <w:rPr>
      <w:rFonts w:ascii="Calibri Light" w:hAnsi="Calibri Light" w:cs="黑体"/>
      <w:bCs/>
      <w:szCs w:val="28"/>
    </w:rPr>
  </w:style>
  <w:style w:type="paragraph" w:styleId="6">
    <w:name w:val="heading 5"/>
    <w:basedOn w:val="1"/>
    <w:next w:val="1"/>
    <w:link w:val="25"/>
    <w:unhideWhenUsed/>
    <w:qFormat/>
    <w:uiPriority w:val="4"/>
    <w:pPr>
      <w:keepNext/>
      <w:keepLines/>
      <w:outlineLvl w:val="4"/>
    </w:pPr>
    <w:rPr>
      <w:b/>
      <w:bCs/>
      <w:szCs w:val="28"/>
    </w:rPr>
  </w:style>
  <w:style w:type="paragraph" w:styleId="7">
    <w:name w:val="heading 6"/>
    <w:basedOn w:val="1"/>
    <w:next w:val="1"/>
    <w:link w:val="26"/>
    <w:unhideWhenUsed/>
    <w:qFormat/>
    <w:uiPriority w:val="9"/>
    <w:pPr>
      <w:keepNext/>
      <w:keepLines/>
      <w:ind w:firstLine="0" w:firstLineChars="0"/>
      <w:outlineLvl w:val="5"/>
    </w:pPr>
    <w:rPr>
      <w:rFonts w:ascii="黑体" w:hAnsi="Calibri Light" w:eastAsia="黑体" w:cs="黑体"/>
      <w:bCs/>
      <w:szCs w:val="24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next w:val="1"/>
    <w:qFormat/>
    <w:uiPriority w:val="99"/>
    <w:pPr>
      <w:ind w:firstLine="420"/>
    </w:p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Body Text"/>
    <w:basedOn w:val="1"/>
    <w:qFormat/>
    <w:uiPriority w:val="0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11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2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3">
    <w:name w:val="index 9"/>
    <w:basedOn w:val="1"/>
    <w:next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_GB2312" w:cs="等线"/>
      <w:sz w:val="32"/>
      <w:szCs w:val="21"/>
    </w:rPr>
  </w:style>
  <w:style w:type="paragraph" w:styleId="14">
    <w:name w:val="HTML Preformatted"/>
    <w:basedOn w:val="1"/>
    <w:semiHidden/>
    <w:unhideWhenUsed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5">
    <w:name w:val="Normal (Web)"/>
    <w:basedOn w:val="1"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link w:val="20"/>
    <w:qFormat/>
    <w:uiPriority w:val="2"/>
    <w:pPr>
      <w:suppressAutoHyphens/>
      <w:overflowPunct w:val="0"/>
      <w:spacing w:line="600" w:lineRule="exact"/>
      <w:ind w:firstLine="0" w:firstLineChars="0"/>
      <w:jc w:val="center"/>
      <w:outlineLvl w:val="0"/>
    </w:pPr>
    <w:rPr>
      <w:rFonts w:ascii="方正小标宋_GBK" w:hAnsi="华文中宋" w:eastAsia="方正小标宋_GBK" w:cs="黑体"/>
      <w:bCs/>
      <w:sz w:val="40"/>
      <w:szCs w:val="40"/>
    </w:rPr>
  </w:style>
  <w:style w:type="paragraph" w:customStyle="1" w:styleId="19">
    <w:name w:val="No Spacing"/>
    <w:basedOn w:val="1"/>
    <w:next w:val="1"/>
    <w:qFormat/>
    <w:uiPriority w:val="1"/>
    <w:pPr>
      <w:widowControl/>
      <w:adjustRightInd w:val="0"/>
      <w:spacing w:line="240" w:lineRule="auto"/>
      <w:ind w:firstLine="0" w:firstLineChars="0"/>
    </w:pPr>
    <w:rPr>
      <w:rFonts w:ascii="仿宋" w:hAnsi="仿宋" w:eastAsia="方正仿宋_GBK" w:cs="黑体"/>
      <w:kern w:val="2"/>
      <w:sz w:val="30"/>
      <w:szCs w:val="32"/>
      <w:lang w:val="en-US" w:eastAsia="zh-CN" w:bidi="ar-SA"/>
    </w:rPr>
  </w:style>
  <w:style w:type="character" w:customStyle="1" w:styleId="20">
    <w:name w:val="标题 Char"/>
    <w:basedOn w:val="18"/>
    <w:link w:val="16"/>
    <w:qFormat/>
    <w:uiPriority w:val="2"/>
    <w:rPr>
      <w:rFonts w:ascii="方正小标宋_GBK" w:hAnsi="华文中宋" w:eastAsia="方正小标宋_GBK" w:cs="黑体"/>
      <w:bCs/>
      <w:sz w:val="40"/>
      <w:szCs w:val="40"/>
    </w:rPr>
  </w:style>
  <w:style w:type="character" w:customStyle="1" w:styleId="21">
    <w:name w:val="标题 1 Char"/>
    <w:basedOn w:val="18"/>
    <w:link w:val="2"/>
    <w:qFormat/>
    <w:uiPriority w:val="3"/>
    <w:rPr>
      <w:rFonts w:eastAsia="黑体"/>
      <w:bCs/>
      <w:kern w:val="44"/>
      <w:szCs w:val="44"/>
    </w:rPr>
  </w:style>
  <w:style w:type="character" w:customStyle="1" w:styleId="22">
    <w:name w:val="标题 2 Char"/>
    <w:basedOn w:val="18"/>
    <w:link w:val="3"/>
    <w:qFormat/>
    <w:uiPriority w:val="4"/>
    <w:rPr>
      <w:rFonts w:eastAsia="楷体" w:cs="黑体"/>
      <w:bCs/>
      <w:szCs w:val="32"/>
    </w:rPr>
  </w:style>
  <w:style w:type="character" w:customStyle="1" w:styleId="23">
    <w:name w:val="标题 3 Char"/>
    <w:basedOn w:val="18"/>
    <w:link w:val="4"/>
    <w:qFormat/>
    <w:uiPriority w:val="5"/>
    <w:rPr>
      <w:bCs/>
      <w:szCs w:val="32"/>
    </w:rPr>
  </w:style>
  <w:style w:type="character" w:customStyle="1" w:styleId="24">
    <w:name w:val="标题 4 Char"/>
    <w:basedOn w:val="18"/>
    <w:link w:val="5"/>
    <w:qFormat/>
    <w:uiPriority w:val="6"/>
    <w:rPr>
      <w:rFonts w:ascii="Calibri Light" w:hAnsi="Calibri Light" w:cs="黑体"/>
      <w:bCs/>
      <w:szCs w:val="28"/>
    </w:rPr>
  </w:style>
  <w:style w:type="character" w:customStyle="1" w:styleId="25">
    <w:name w:val="标题 5 Char"/>
    <w:basedOn w:val="18"/>
    <w:link w:val="6"/>
    <w:qFormat/>
    <w:uiPriority w:val="4"/>
    <w:rPr>
      <w:b/>
      <w:bCs/>
      <w:szCs w:val="28"/>
    </w:rPr>
  </w:style>
  <w:style w:type="character" w:customStyle="1" w:styleId="26">
    <w:name w:val="标题 6 Char"/>
    <w:basedOn w:val="18"/>
    <w:link w:val="7"/>
    <w:qFormat/>
    <w:uiPriority w:val="9"/>
    <w:rPr>
      <w:rFonts w:ascii="黑体" w:hAnsi="Calibri Light" w:eastAsia="黑体" w:cs="黑体"/>
      <w:bCs/>
      <w:szCs w:val="24"/>
    </w:rPr>
  </w:style>
  <w:style w:type="character" w:customStyle="1" w:styleId="27">
    <w:name w:val="页眉 Char"/>
    <w:basedOn w:val="18"/>
    <w:link w:val="12"/>
    <w:qFormat/>
    <w:uiPriority w:val="99"/>
    <w:rPr>
      <w:sz w:val="18"/>
      <w:szCs w:val="18"/>
    </w:rPr>
  </w:style>
  <w:style w:type="character" w:customStyle="1" w:styleId="28">
    <w:name w:val="页脚 Char"/>
    <w:basedOn w:val="18"/>
    <w:link w:val="11"/>
    <w:qFormat/>
    <w:uiPriority w:val="99"/>
    <w:rPr>
      <w:sz w:val="18"/>
      <w:szCs w:val="18"/>
    </w:rPr>
  </w:style>
  <w:style w:type="paragraph" w:customStyle="1" w:styleId="29">
    <w:name w:val="主体正文"/>
    <w:basedOn w:val="1"/>
    <w:qFormat/>
    <w:uiPriority w:val="0"/>
    <w:pPr>
      <w:wordWrap w:val="0"/>
      <w:spacing w:line="574" w:lineRule="exact"/>
      <w:ind w:firstLine="622" w:firstLineChars="200"/>
      <w:jc w:val="left"/>
    </w:pPr>
    <w:rPr>
      <w:rFonts w:ascii="仿宋" w:eastAsia="仿宋"/>
      <w:sz w:val="32"/>
      <w:szCs w:val="32"/>
    </w:rPr>
  </w:style>
  <w:style w:type="character" w:customStyle="1" w:styleId="30">
    <w:name w:val="font11"/>
    <w:basedOn w:val="18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31">
    <w:name w:val="font31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">
    <w:name w:val="font41"/>
    <w:basedOn w:val="1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5651</Words>
  <Characters>5740</Characters>
  <Lines>1</Lines>
  <Paragraphs>1</Paragraphs>
  <TotalTime>73</TotalTime>
  <ScaleCrop>false</ScaleCrop>
  <LinksUpToDate>false</LinksUpToDate>
  <CharactersWithSpaces>5752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2021-03-28T03:17:00Z</dcterms:created>
  <dc:creator>刘光</dc:creator>
  <cp:lastModifiedBy>kylin</cp:lastModifiedBy>
  <cp:lastPrinted>2026-04-27T09:31:00Z</cp:lastPrinted>
  <dcterms:modified xsi:type="dcterms:W3CDTF">2026-10-13T15:58:22Z</dcterms:modified>
  <dc:title>   河北省发展和改革委员会工作请示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000B2BBF60A843EA8774CB34150956A7_12</vt:lpwstr>
  </property>
  <property fmtid="{D5CDD505-2E9C-101B-9397-08002B2CF9AE}" pid="4" name="KSOTemplateDocerSaveRecord">
    <vt:lpwstr>eyJoZGlkIjoiMzEwNTM5NzYwMDRjMzkwZTVkZjY2ODkwMGIxNGU0OTUiLCJ1c2VySWQiOiI2MTc2Mjc4OTkifQ==</vt:lpwstr>
  </property>
</Properties>
</file>